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jc w:val="left"/>
        <w:rPr>
          <w:rFonts w:hint="eastAsia" w:ascii="黑体" w:hAnsi="黑体" w:eastAsia="黑体" w:cs="黑体"/>
          <w:b w:val="0"/>
          <w:bCs/>
          <w:sz w:val="32"/>
          <w:szCs w:val="32"/>
          <w:lang w:val="en-US" w:eastAsia="zh-CN"/>
        </w:rPr>
      </w:pPr>
      <w:bookmarkStart w:id="0" w:name="_GoBack"/>
      <w:bookmarkEnd w:id="0"/>
    </w:p>
    <w:p>
      <w:pPr>
        <w:jc w:val="center"/>
        <w:rPr>
          <w:rFonts w:ascii="宋体" w:hAnsi="宋体"/>
          <w:b/>
          <w:sz w:val="36"/>
          <w:szCs w:val="36"/>
        </w:rPr>
      </w:pPr>
      <w:r>
        <w:rPr>
          <w:rFonts w:hint="eastAsia" w:ascii="宋体" w:hAnsi="宋体"/>
          <w:b/>
          <w:sz w:val="36"/>
          <w:szCs w:val="36"/>
        </w:rPr>
        <w:t>北京邮电大学现代远程教育招生简章</w:t>
      </w:r>
    </w:p>
    <w:p>
      <w:pPr>
        <w:jc w:val="center"/>
        <w:rPr>
          <w:rFonts w:ascii="宋体" w:hAnsi="宋体"/>
          <w:b/>
          <w:sz w:val="36"/>
          <w:szCs w:val="36"/>
        </w:rPr>
      </w:pPr>
    </w:p>
    <w:p>
      <w:pPr>
        <w:ind w:firstLine="480" w:firstLineChars="200"/>
        <w:rPr>
          <w:rFonts w:ascii="宋体" w:hAnsi="宋体"/>
          <w:sz w:val="24"/>
          <w:szCs w:val="24"/>
        </w:rPr>
      </w:pPr>
      <w:r>
        <w:rPr>
          <w:rFonts w:hint="eastAsia" w:ascii="宋体" w:hAnsi="宋体"/>
          <w:sz w:val="24"/>
          <w:szCs w:val="24"/>
        </w:rPr>
        <w:t>为贯彻落实广东省团省委开展“圆梦计划”的工作部署和要求，共青团珠海市委员会、北京邮电大学、北京师范大学珠海分校信息技术培训中心（北京邮电大学现代远程教育珠海校外学习中心）联合开展2015年新生代产业工人圆梦计划。该项目主要通过政府补贴、企业出资、社会筹资、校方让利等多种方式，依托北京邮电大学网络教育学院，在本市遴选符合条件的新生代产业工人，帮助他们实现大学梦。</w:t>
      </w:r>
    </w:p>
    <w:p>
      <w:pPr>
        <w:rPr>
          <w:rFonts w:ascii="宋体" w:hAnsi="宋体"/>
          <w:b/>
          <w:sz w:val="24"/>
          <w:szCs w:val="24"/>
        </w:rPr>
      </w:pPr>
      <w:r>
        <w:rPr>
          <w:rFonts w:hint="eastAsia" w:ascii="宋体" w:hAnsi="宋体"/>
          <w:b/>
          <w:sz w:val="24"/>
          <w:szCs w:val="24"/>
        </w:rPr>
        <w:t>☆　报名须知</w:t>
      </w:r>
    </w:p>
    <w:p>
      <w:pPr>
        <w:rPr>
          <w:rFonts w:ascii="宋体" w:hAnsi="宋体"/>
          <w:sz w:val="24"/>
          <w:szCs w:val="24"/>
        </w:rPr>
      </w:pPr>
      <w:r>
        <w:rPr>
          <w:rFonts w:hint="eastAsia" w:ascii="宋体" w:hAnsi="宋体"/>
          <w:sz w:val="24"/>
          <w:szCs w:val="24"/>
        </w:rPr>
        <w:t>报名面向所有在珠海务工的青年（包括外省籍），基本条件如下：</w:t>
      </w:r>
    </w:p>
    <w:p>
      <w:pPr>
        <w:rPr>
          <w:rFonts w:ascii="宋体" w:hAnsi="宋体"/>
          <w:sz w:val="24"/>
          <w:szCs w:val="24"/>
        </w:rPr>
      </w:pPr>
      <w:r>
        <w:rPr>
          <w:rFonts w:hint="eastAsia" w:ascii="宋体" w:hAnsi="宋体"/>
          <w:sz w:val="24"/>
          <w:szCs w:val="24"/>
        </w:rPr>
        <w:t>1、珠海市新生代产业工人；</w:t>
      </w:r>
    </w:p>
    <w:p>
      <w:pPr>
        <w:rPr>
          <w:rFonts w:ascii="宋体" w:hAnsi="宋体"/>
          <w:sz w:val="24"/>
          <w:szCs w:val="24"/>
        </w:rPr>
      </w:pPr>
      <w:r>
        <w:rPr>
          <w:rFonts w:hint="eastAsia" w:ascii="宋体" w:hAnsi="宋体"/>
          <w:sz w:val="24"/>
          <w:szCs w:val="24"/>
        </w:rPr>
        <w:t>2、在我市工厂或企业务工具有一年以上务工经历的中国公民；</w:t>
      </w:r>
    </w:p>
    <w:p>
      <w:pPr>
        <w:rPr>
          <w:rFonts w:ascii="宋体" w:hAnsi="宋体"/>
          <w:sz w:val="24"/>
          <w:szCs w:val="24"/>
        </w:rPr>
      </w:pPr>
      <w:r>
        <w:rPr>
          <w:rFonts w:hint="eastAsia" w:ascii="宋体" w:hAnsi="宋体"/>
          <w:sz w:val="24"/>
          <w:szCs w:val="24"/>
        </w:rPr>
        <w:t>3、18周岁以上、35周岁以下（2015年的报名条件为1980年7月1日至1997年7月1日期间出生）；</w:t>
      </w:r>
    </w:p>
    <w:p>
      <w:pPr>
        <w:rPr>
          <w:rFonts w:ascii="宋体" w:hAnsi="宋体"/>
          <w:sz w:val="24"/>
          <w:szCs w:val="24"/>
        </w:rPr>
      </w:pPr>
      <w:r>
        <w:rPr>
          <w:rFonts w:hint="eastAsia" w:ascii="宋体" w:hAnsi="宋体"/>
          <w:sz w:val="24"/>
          <w:szCs w:val="24"/>
        </w:rPr>
        <w:t>4.报考高中起点专科的考生须具有高中、中专、中技、职高毕业文化程度或同等学力。</w:t>
      </w:r>
    </w:p>
    <w:p>
      <w:pPr>
        <w:rPr>
          <w:rFonts w:ascii="宋体" w:hAnsi="宋体"/>
          <w:sz w:val="24"/>
          <w:szCs w:val="24"/>
        </w:rPr>
      </w:pPr>
      <w:r>
        <w:rPr>
          <w:rFonts w:hint="eastAsia" w:ascii="宋体" w:hAnsi="宋体"/>
          <w:sz w:val="24"/>
          <w:szCs w:val="24"/>
        </w:rPr>
        <w:t>5.报考专科起点本科的考生须具有教育部审定核准的国民教育系列高等学校或高等教育自学考试机构颁发的大学专科（及大专以上）毕业证书。</w:t>
      </w:r>
    </w:p>
    <w:p>
      <w:pPr>
        <w:rPr>
          <w:rFonts w:ascii="宋体" w:hAnsi="宋体"/>
          <w:sz w:val="24"/>
          <w:szCs w:val="24"/>
        </w:rPr>
      </w:pPr>
      <w:r>
        <w:rPr>
          <w:rFonts w:hint="eastAsia" w:ascii="宋体" w:hAnsi="宋体"/>
          <w:sz w:val="24"/>
          <w:szCs w:val="24"/>
        </w:rPr>
        <w:t>6.考生应具备上网学习的条件，且能够保证有参加网络学习的时间。</w:t>
      </w:r>
    </w:p>
    <w:p>
      <w:pPr>
        <w:rPr>
          <w:rFonts w:ascii="宋体" w:hAnsi="宋体"/>
          <w:sz w:val="24"/>
          <w:szCs w:val="24"/>
        </w:rPr>
      </w:pPr>
      <w:r>
        <w:rPr>
          <w:rFonts w:hint="eastAsia" w:ascii="宋体" w:hAnsi="宋体"/>
          <w:sz w:val="24"/>
          <w:szCs w:val="24"/>
        </w:rPr>
        <w:t>7.具备广东省“圆梦计划”所要求的其他资格条件。</w:t>
      </w:r>
    </w:p>
    <w:p>
      <w:pPr>
        <w:rPr>
          <w:rFonts w:ascii="宋体" w:hAnsi="宋体"/>
          <w:b/>
          <w:sz w:val="24"/>
          <w:szCs w:val="24"/>
        </w:rPr>
      </w:pPr>
      <w:r>
        <w:rPr>
          <w:rFonts w:hint="eastAsia" w:ascii="宋体" w:hAnsi="宋体"/>
          <w:b/>
          <w:sz w:val="24"/>
          <w:szCs w:val="24"/>
        </w:rPr>
        <w:t>☆　报名方式</w:t>
      </w:r>
    </w:p>
    <w:p>
      <w:pPr>
        <w:rPr>
          <w:rFonts w:ascii="宋体" w:hAnsi="宋体"/>
          <w:sz w:val="24"/>
          <w:szCs w:val="24"/>
        </w:rPr>
      </w:pPr>
      <w:r>
        <w:rPr>
          <w:rFonts w:hint="eastAsia" w:ascii="宋体" w:hAnsi="宋体"/>
          <w:sz w:val="24"/>
          <w:szCs w:val="24"/>
        </w:rPr>
        <w:t>1、网上报名:登录广东新生代产业工人骨干培养发展计划官网报名系统（</w:t>
      </w:r>
      <w:r>
        <w:fldChar w:fldCharType="begin"/>
      </w:r>
      <w:r>
        <w:instrText xml:space="preserve">HYPERLINK "http://www.yuanmengjihua.com/newsdetail.aspx?id=2903" </w:instrText>
      </w:r>
      <w:r>
        <w:fldChar w:fldCharType="separate"/>
      </w:r>
      <w:r>
        <w:rPr>
          <w:rStyle w:val="7"/>
          <w:rFonts w:hint="eastAsia" w:ascii="宋体" w:hAnsi="宋体"/>
          <w:sz w:val="24"/>
          <w:szCs w:val="24"/>
        </w:rPr>
        <w:t>www.yuanmengjihua.com</w:t>
      </w:r>
      <w:r>
        <w:fldChar w:fldCharType="end"/>
      </w:r>
      <w:r>
        <w:rPr>
          <w:rFonts w:hint="eastAsia" w:ascii="宋体" w:hAnsi="宋体"/>
          <w:sz w:val="24"/>
          <w:szCs w:val="24"/>
        </w:rPr>
        <w:t>）报名。</w:t>
      </w:r>
    </w:p>
    <w:p>
      <w:pPr>
        <w:rPr>
          <w:rFonts w:ascii="宋体" w:hAnsi="宋体"/>
          <w:sz w:val="24"/>
          <w:szCs w:val="24"/>
        </w:rPr>
      </w:pPr>
      <w:r>
        <w:rPr>
          <w:rFonts w:hint="eastAsia" w:ascii="宋体" w:hAnsi="宋体"/>
          <w:sz w:val="24"/>
          <w:szCs w:val="24"/>
        </w:rPr>
        <w:t>2、现场报名：前往北京邮电大学现代远程教育珠海校外学习中心填写《北京邮电大学网络教育学历教育报名登记表》进行报名。</w:t>
      </w:r>
    </w:p>
    <w:p>
      <w:pPr>
        <w:rPr>
          <w:rFonts w:ascii="宋体" w:hAnsi="宋体"/>
          <w:b/>
          <w:sz w:val="24"/>
          <w:szCs w:val="24"/>
        </w:rPr>
      </w:pPr>
      <w:r>
        <w:rPr>
          <w:rFonts w:hint="eastAsia" w:ascii="宋体" w:hAnsi="宋体"/>
          <w:b/>
          <w:sz w:val="24"/>
          <w:szCs w:val="24"/>
        </w:rPr>
        <w:t>☆　报名材料</w:t>
      </w:r>
    </w:p>
    <w:p>
      <w:pPr>
        <w:rPr>
          <w:rFonts w:ascii="宋体" w:hAnsi="宋体"/>
          <w:sz w:val="24"/>
          <w:szCs w:val="24"/>
        </w:rPr>
      </w:pPr>
      <w:r>
        <w:rPr>
          <w:rFonts w:hint="eastAsia" w:ascii="宋体" w:hAnsi="宋体"/>
          <w:sz w:val="24"/>
          <w:szCs w:val="24"/>
        </w:rPr>
        <w:t>1、本人身份证件及工作证（原件查验、A4正反面复印件各2份）；</w:t>
      </w:r>
    </w:p>
    <w:p>
      <w:pPr>
        <w:rPr>
          <w:rFonts w:ascii="宋体" w:hAnsi="宋体"/>
          <w:sz w:val="24"/>
          <w:szCs w:val="24"/>
        </w:rPr>
      </w:pPr>
      <w:r>
        <w:rPr>
          <w:rFonts w:hint="eastAsia" w:ascii="宋体" w:hAnsi="宋体"/>
          <w:sz w:val="24"/>
          <w:szCs w:val="24"/>
        </w:rPr>
        <w:t>2、毕业证原件及A4复印件2份；</w:t>
      </w:r>
    </w:p>
    <w:p>
      <w:pPr>
        <w:rPr>
          <w:rFonts w:ascii="宋体" w:hAnsi="宋体"/>
          <w:sz w:val="24"/>
          <w:szCs w:val="24"/>
        </w:rPr>
      </w:pPr>
      <w:r>
        <w:rPr>
          <w:rFonts w:hint="eastAsia" w:ascii="宋体" w:hAnsi="宋体"/>
          <w:sz w:val="24"/>
          <w:szCs w:val="24"/>
        </w:rPr>
        <w:t>3、出具所在企业务工一年以上的工作证明及同意报考证明（加盖公章）及A4复印件2份；</w:t>
      </w:r>
    </w:p>
    <w:p>
      <w:pPr>
        <w:rPr>
          <w:rFonts w:ascii="宋体" w:hAnsi="宋体"/>
          <w:sz w:val="24"/>
          <w:szCs w:val="24"/>
        </w:rPr>
      </w:pPr>
      <w:r>
        <w:rPr>
          <w:rFonts w:hint="eastAsia" w:ascii="宋体" w:hAnsi="宋体"/>
          <w:sz w:val="24"/>
          <w:szCs w:val="24"/>
        </w:rPr>
        <w:t>4、所在单位的名称、地址、邮政编码、办公电话；</w:t>
      </w:r>
    </w:p>
    <w:p>
      <w:pPr>
        <w:rPr>
          <w:rFonts w:ascii="宋体" w:hAnsi="宋体"/>
          <w:sz w:val="24"/>
          <w:szCs w:val="24"/>
        </w:rPr>
      </w:pPr>
      <w:r>
        <w:rPr>
          <w:rFonts w:hint="eastAsia" w:ascii="宋体" w:hAnsi="宋体"/>
          <w:sz w:val="24"/>
          <w:szCs w:val="24"/>
        </w:rPr>
        <w:t>5、近期2张2寸正面蓝底免冠证件照纸介版和电子版照片。</w:t>
      </w:r>
    </w:p>
    <w:p>
      <w:pPr>
        <w:rPr>
          <w:rFonts w:ascii="宋体" w:hAnsi="宋体"/>
          <w:sz w:val="24"/>
          <w:szCs w:val="24"/>
        </w:rPr>
      </w:pPr>
      <w:r>
        <w:rPr>
          <w:rFonts w:hint="eastAsia" w:ascii="宋体" w:hAnsi="宋体"/>
          <w:sz w:val="24"/>
          <w:szCs w:val="24"/>
        </w:rPr>
        <w:t>凡有关材料信息不实的，招考部门有权取消该报考人员参加考试的资格。</w:t>
      </w:r>
    </w:p>
    <w:p>
      <w:pPr>
        <w:rPr>
          <w:rFonts w:ascii="宋体" w:hAnsi="宋体"/>
          <w:sz w:val="24"/>
          <w:szCs w:val="24"/>
        </w:rPr>
      </w:pPr>
      <w:r>
        <w:rPr>
          <w:rFonts w:hint="eastAsia" w:ascii="宋体" w:hAnsi="宋体"/>
          <w:b/>
          <w:sz w:val="24"/>
          <w:szCs w:val="24"/>
        </w:rPr>
        <w:t>☆　报名时间</w:t>
      </w:r>
      <w:r>
        <w:rPr>
          <w:rFonts w:hint="eastAsia" w:ascii="宋体" w:hAnsi="宋体"/>
          <w:sz w:val="24"/>
          <w:szCs w:val="24"/>
        </w:rPr>
        <w:t>：待定</w:t>
      </w:r>
    </w:p>
    <w:p>
      <w:pPr>
        <w:rPr>
          <w:rFonts w:ascii="宋体" w:hAnsi="宋体"/>
          <w:b/>
          <w:sz w:val="24"/>
          <w:szCs w:val="24"/>
        </w:rPr>
      </w:pPr>
      <w:r>
        <w:rPr>
          <w:rFonts w:hint="eastAsia" w:ascii="宋体" w:hAnsi="宋体"/>
          <w:b/>
          <w:sz w:val="24"/>
          <w:szCs w:val="24"/>
        </w:rPr>
        <w:t>☆  考试时间：待定</w:t>
      </w:r>
    </w:p>
    <w:p>
      <w:pPr>
        <w:rPr>
          <w:rFonts w:ascii="宋体" w:hAnsi="宋体"/>
          <w:sz w:val="24"/>
          <w:szCs w:val="24"/>
        </w:rPr>
      </w:pPr>
      <w:r>
        <w:rPr>
          <w:rFonts w:hint="eastAsia" w:ascii="宋体" w:hAnsi="宋体"/>
          <w:b/>
          <w:sz w:val="24"/>
          <w:szCs w:val="24"/>
        </w:rPr>
        <w:t>☆  考试地址：北京师范大学珠海分校</w:t>
      </w:r>
    </w:p>
    <w:p>
      <w:pPr>
        <w:rPr>
          <w:rFonts w:ascii="宋体" w:hAnsi="宋体"/>
          <w:sz w:val="24"/>
          <w:szCs w:val="24"/>
        </w:rPr>
      </w:pPr>
      <w:r>
        <w:rPr>
          <w:rFonts w:hint="eastAsia" w:ascii="宋体" w:hAnsi="宋体"/>
          <w:b/>
          <w:sz w:val="24"/>
          <w:szCs w:val="24"/>
        </w:rPr>
        <w:t>☆　考试须知</w:t>
      </w:r>
      <w:r>
        <w:rPr>
          <w:rFonts w:hint="eastAsia" w:ascii="宋体" w:hAnsi="宋体"/>
          <w:sz w:val="24"/>
          <w:szCs w:val="24"/>
        </w:rPr>
        <w:t>：</w:t>
      </w:r>
    </w:p>
    <w:p>
      <w:pPr>
        <w:rPr>
          <w:rFonts w:ascii="宋体" w:hAnsi="宋体"/>
          <w:sz w:val="24"/>
          <w:szCs w:val="24"/>
        </w:rPr>
      </w:pPr>
      <w:r>
        <w:rPr>
          <w:rFonts w:hint="eastAsia" w:ascii="宋体" w:hAnsi="宋体"/>
          <w:sz w:val="24"/>
          <w:szCs w:val="24"/>
        </w:rPr>
        <w:t>入学考试：参加北京邮电大学网络教育学院统一组织的笔试，考试时长为2个小时。考生需携带身份证参加考试。</w:t>
      </w:r>
    </w:p>
    <w:p>
      <w:pPr>
        <w:rPr>
          <w:rFonts w:ascii="宋体" w:hAnsi="宋体"/>
          <w:sz w:val="24"/>
          <w:szCs w:val="24"/>
        </w:rPr>
      </w:pPr>
      <w:r>
        <w:rPr>
          <w:rFonts w:hint="eastAsia" w:ascii="宋体" w:hAnsi="宋体"/>
          <w:sz w:val="24"/>
          <w:szCs w:val="24"/>
        </w:rPr>
        <w:t>报考高中起点专科的考生，考试科目为：英语、数学、计算机基础；</w:t>
      </w:r>
    </w:p>
    <w:p>
      <w:pPr>
        <w:rPr>
          <w:rFonts w:ascii="宋体" w:hAnsi="宋体"/>
          <w:sz w:val="24"/>
          <w:szCs w:val="24"/>
        </w:rPr>
      </w:pPr>
      <w:r>
        <w:rPr>
          <w:rFonts w:hint="eastAsia" w:ascii="宋体" w:hAnsi="宋体"/>
          <w:sz w:val="24"/>
          <w:szCs w:val="24"/>
        </w:rPr>
        <w:t>报考专科起点本科的考生，考试科目为：大学英语、高等数学、计算机基础。测试大纲和模拟试题可登陆学习中心网站下载。</w:t>
      </w:r>
    </w:p>
    <w:p>
      <w:pPr>
        <w:rPr>
          <w:rFonts w:ascii="宋体" w:hAnsi="宋体"/>
          <w:b/>
          <w:sz w:val="24"/>
          <w:szCs w:val="24"/>
        </w:rPr>
      </w:pPr>
      <w:r>
        <w:rPr>
          <w:rFonts w:hint="eastAsia" w:ascii="宋体" w:hAnsi="宋体"/>
          <w:b/>
          <w:sz w:val="24"/>
          <w:szCs w:val="24"/>
        </w:rPr>
        <w:t>☆ 招生专业</w:t>
      </w:r>
    </w:p>
    <w:p>
      <w:pPr>
        <w:rPr>
          <w:rFonts w:ascii="宋体" w:hAnsi="宋体"/>
          <w:b/>
          <w:sz w:val="24"/>
          <w:szCs w:val="24"/>
        </w:rPr>
      </w:pPr>
    </w:p>
    <w:tbl>
      <w:tblPr>
        <w:tblStyle w:val="8"/>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7F9"/>
        <w:tblLayout w:type="fixed"/>
        <w:tblCellMar>
          <w:left w:w="108" w:type="dxa"/>
          <w:right w:w="108" w:type="dxa"/>
        </w:tblCellMar>
      </w:tblPr>
      <w:tblGrid>
        <w:gridCol w:w="1258"/>
        <w:gridCol w:w="2535"/>
        <w:gridCol w:w="1776"/>
        <w:gridCol w:w="1237"/>
        <w:gridCol w:w="17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4F7F9"/>
          <w:tblLayout w:type="fixed"/>
          <w:tblCellMar>
            <w:left w:w="108" w:type="dxa"/>
            <w:right w:w="108" w:type="dxa"/>
          </w:tblCellMar>
        </w:tblPrEx>
        <w:trPr>
          <w:trHeight w:val="454" w:hRule="atLeast"/>
          <w:jc w:val="center"/>
        </w:trPr>
        <w:tc>
          <w:tcPr>
            <w:tcW w:w="1258" w:type="dxa"/>
            <w:tcBorders>
              <w:top w:val="single" w:color="000000" w:sz="4" w:space="0"/>
              <w:left w:val="single" w:color="000000" w:sz="4" w:space="0"/>
              <w:bottom w:val="single" w:color="000000" w:sz="4" w:space="0"/>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层次</w:t>
            </w:r>
          </w:p>
        </w:tc>
        <w:tc>
          <w:tcPr>
            <w:tcW w:w="2535" w:type="dxa"/>
            <w:tcBorders>
              <w:top w:val="single" w:color="000000" w:sz="4" w:space="0"/>
              <w:left w:val="nil"/>
              <w:bottom w:val="single" w:color="000000" w:sz="4" w:space="0"/>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招生专业</w:t>
            </w:r>
          </w:p>
        </w:tc>
        <w:tc>
          <w:tcPr>
            <w:tcW w:w="1776" w:type="dxa"/>
            <w:tcBorders>
              <w:top w:val="single" w:color="000000" w:sz="4" w:space="0"/>
              <w:left w:val="nil"/>
              <w:bottom w:val="single" w:color="000000" w:sz="4" w:space="0"/>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入学考试科目</w:t>
            </w:r>
          </w:p>
        </w:tc>
        <w:tc>
          <w:tcPr>
            <w:tcW w:w="1237" w:type="dxa"/>
            <w:tcBorders>
              <w:top w:val="single" w:color="000000" w:sz="4" w:space="0"/>
              <w:left w:val="nil"/>
              <w:bottom w:val="single" w:color="000000" w:sz="4" w:space="0"/>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学 分</w:t>
            </w:r>
          </w:p>
        </w:tc>
        <w:tc>
          <w:tcPr>
            <w:tcW w:w="1716" w:type="dxa"/>
            <w:tcBorders>
              <w:top w:val="single" w:color="000000" w:sz="4" w:space="0"/>
              <w:left w:val="nil"/>
              <w:bottom w:val="single" w:color="000000" w:sz="4" w:space="0"/>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学习期限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restart"/>
            <w:tcBorders>
              <w:top w:val="nil"/>
              <w:left w:val="single" w:color="000000" w:sz="4" w:space="0"/>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高起专</w:t>
            </w: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物流工程</w:t>
            </w:r>
          </w:p>
        </w:tc>
        <w:tc>
          <w:tcPr>
            <w:tcW w:w="1776" w:type="dxa"/>
            <w:vMerge w:val="restart"/>
            <w:tcBorders>
              <w:top w:val="nil"/>
              <w:left w:val="nil"/>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1、计算机基础</w:t>
            </w:r>
          </w:p>
          <w:p>
            <w:pPr>
              <w:rPr>
                <w:rFonts w:ascii="宋体" w:hAnsi="宋体"/>
                <w:sz w:val="24"/>
                <w:szCs w:val="24"/>
              </w:rPr>
            </w:pPr>
            <w:r>
              <w:rPr>
                <w:rFonts w:hint="eastAsia" w:ascii="宋体" w:hAnsi="宋体"/>
                <w:sz w:val="24"/>
                <w:szCs w:val="24"/>
              </w:rPr>
              <w:t>2、英语</w:t>
            </w:r>
          </w:p>
          <w:p>
            <w:pPr>
              <w:rPr>
                <w:rFonts w:ascii="宋体" w:hAnsi="宋体"/>
                <w:sz w:val="24"/>
                <w:szCs w:val="24"/>
              </w:rPr>
            </w:pPr>
            <w:r>
              <w:rPr>
                <w:rFonts w:hint="eastAsia" w:ascii="宋体" w:hAnsi="宋体"/>
                <w:sz w:val="24"/>
                <w:szCs w:val="24"/>
              </w:rPr>
              <w:t>3、数学</w:t>
            </w:r>
          </w:p>
        </w:tc>
        <w:tc>
          <w:tcPr>
            <w:tcW w:w="1237" w:type="dxa"/>
            <w:vMerge w:val="restart"/>
            <w:tcBorders>
              <w:top w:val="nil"/>
              <w:left w:val="nil"/>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80学分</w:t>
            </w:r>
          </w:p>
        </w:tc>
        <w:tc>
          <w:tcPr>
            <w:tcW w:w="1716" w:type="dxa"/>
            <w:vMerge w:val="restart"/>
            <w:tcBorders>
              <w:top w:val="nil"/>
              <w:left w:val="nil"/>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2.5 — 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right w:val="single" w:color="000000" w:sz="4" w:space="0"/>
            </w:tcBorders>
            <w:shd w:val="clear" w:color="auto" w:fill="F4F7F9"/>
            <w:vAlign w:val="center"/>
          </w:tcPr>
          <w:p>
            <w:pPr>
              <w:jc w:val="cente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机械工程及自动化</w:t>
            </w:r>
          </w:p>
        </w:tc>
        <w:tc>
          <w:tcPr>
            <w:tcW w:w="177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237"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71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right w:val="single" w:color="000000" w:sz="4" w:space="0"/>
            </w:tcBorders>
            <w:shd w:val="clear" w:color="auto" w:fill="F4F7F9"/>
            <w:vAlign w:val="center"/>
          </w:tcPr>
          <w:p>
            <w:pPr>
              <w:jc w:val="cente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市场营销</w:t>
            </w:r>
          </w:p>
        </w:tc>
        <w:tc>
          <w:tcPr>
            <w:tcW w:w="177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237"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71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right w:val="single" w:color="000000" w:sz="4" w:space="0"/>
            </w:tcBorders>
            <w:shd w:val="clear" w:color="auto" w:fill="F4F7F9"/>
            <w:vAlign w:val="center"/>
          </w:tcPr>
          <w:p>
            <w:pPr>
              <w:jc w:val="cente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计算机科学与技术</w:t>
            </w:r>
          </w:p>
        </w:tc>
        <w:tc>
          <w:tcPr>
            <w:tcW w:w="177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237"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71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right w:val="single" w:color="000000" w:sz="4" w:space="0"/>
            </w:tcBorders>
            <w:shd w:val="clear" w:color="auto" w:fill="F4F7F9"/>
            <w:vAlign w:val="center"/>
          </w:tcPr>
          <w:p>
            <w:pPr>
              <w:jc w:val="cente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会计</w:t>
            </w:r>
          </w:p>
        </w:tc>
        <w:tc>
          <w:tcPr>
            <w:tcW w:w="177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237"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71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right w:val="single" w:color="000000" w:sz="4" w:space="0"/>
            </w:tcBorders>
            <w:shd w:val="clear" w:color="auto" w:fill="F4F7F9"/>
            <w:vAlign w:val="center"/>
          </w:tcPr>
          <w:p>
            <w:pPr>
              <w:jc w:val="cente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kern w:val="0"/>
                <w:szCs w:val="21"/>
              </w:rPr>
            </w:pPr>
            <w:r>
              <w:rPr>
                <w:rFonts w:hint="eastAsia" w:ascii="宋体" w:hAnsi="宋体" w:cs="宋体"/>
                <w:color w:val="000000"/>
                <w:kern w:val="0"/>
                <w:szCs w:val="21"/>
              </w:rPr>
              <w:t>电子商务</w:t>
            </w:r>
          </w:p>
        </w:tc>
        <w:tc>
          <w:tcPr>
            <w:tcW w:w="177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237"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71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right w:val="single" w:color="000000" w:sz="4" w:space="0"/>
            </w:tcBorders>
            <w:shd w:val="clear" w:color="auto" w:fill="F4F7F9"/>
            <w:vAlign w:val="center"/>
          </w:tcPr>
          <w:p>
            <w:pPr>
              <w:jc w:val="cente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kern w:val="0"/>
                <w:szCs w:val="21"/>
              </w:rPr>
            </w:pPr>
            <w:r>
              <w:rPr>
                <w:rFonts w:hint="eastAsia" w:ascii="宋体" w:hAnsi="宋体" w:cs="宋体"/>
                <w:color w:val="000000"/>
                <w:kern w:val="0"/>
                <w:szCs w:val="21"/>
              </w:rPr>
              <w:t>经济管理</w:t>
            </w:r>
          </w:p>
        </w:tc>
        <w:tc>
          <w:tcPr>
            <w:tcW w:w="177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237" w:type="dxa"/>
            <w:vMerge w:val="continue"/>
            <w:tcBorders>
              <w:left w:val="nil"/>
              <w:right w:val="single" w:color="000000" w:sz="4" w:space="0"/>
            </w:tcBorders>
            <w:shd w:val="clear" w:color="auto" w:fill="F4F7F9"/>
            <w:vAlign w:val="center"/>
          </w:tcPr>
          <w:p>
            <w:pPr>
              <w:jc w:val="center"/>
              <w:rPr>
                <w:rFonts w:ascii="宋体" w:hAnsi="宋体"/>
                <w:sz w:val="24"/>
                <w:szCs w:val="24"/>
              </w:rPr>
            </w:pPr>
          </w:p>
        </w:tc>
        <w:tc>
          <w:tcPr>
            <w:tcW w:w="1716" w:type="dxa"/>
            <w:vMerge w:val="continue"/>
            <w:tcBorders>
              <w:left w:val="nil"/>
              <w:right w:val="single" w:color="000000" w:sz="4" w:space="0"/>
            </w:tcBorders>
            <w:shd w:val="clear" w:color="auto" w:fill="F4F7F9"/>
            <w:vAlign w:val="center"/>
          </w:tcPr>
          <w:p>
            <w:pPr>
              <w:jc w:val="cente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bottom w:val="single" w:color="000000" w:sz="4" w:space="0"/>
              <w:right w:val="single" w:color="000000" w:sz="4" w:space="0"/>
            </w:tcBorders>
            <w:shd w:val="clear" w:color="auto" w:fill="F4F7F9"/>
            <w:vAlign w:val="center"/>
          </w:tcPr>
          <w:p>
            <w:pPr>
              <w:jc w:val="cente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物业管理</w:t>
            </w:r>
          </w:p>
        </w:tc>
        <w:tc>
          <w:tcPr>
            <w:tcW w:w="1776" w:type="dxa"/>
            <w:vMerge w:val="continue"/>
            <w:tcBorders>
              <w:left w:val="nil"/>
              <w:bottom w:val="single" w:color="000000" w:sz="4" w:space="0"/>
              <w:right w:val="single" w:color="000000" w:sz="4" w:space="0"/>
            </w:tcBorders>
            <w:shd w:val="clear" w:color="auto" w:fill="F4F7F9"/>
            <w:vAlign w:val="center"/>
          </w:tcPr>
          <w:p>
            <w:pPr>
              <w:jc w:val="center"/>
              <w:rPr>
                <w:rFonts w:ascii="宋体" w:hAnsi="宋体"/>
                <w:sz w:val="24"/>
                <w:szCs w:val="24"/>
              </w:rPr>
            </w:pPr>
          </w:p>
        </w:tc>
        <w:tc>
          <w:tcPr>
            <w:tcW w:w="1237" w:type="dxa"/>
            <w:vMerge w:val="continue"/>
            <w:tcBorders>
              <w:left w:val="nil"/>
              <w:bottom w:val="single" w:color="000000" w:sz="4" w:space="0"/>
              <w:right w:val="single" w:color="000000" w:sz="4" w:space="0"/>
            </w:tcBorders>
            <w:shd w:val="clear" w:color="auto" w:fill="F4F7F9"/>
            <w:vAlign w:val="center"/>
          </w:tcPr>
          <w:p>
            <w:pPr>
              <w:jc w:val="center"/>
              <w:rPr>
                <w:rFonts w:ascii="宋体" w:hAnsi="宋体"/>
                <w:sz w:val="24"/>
                <w:szCs w:val="24"/>
              </w:rPr>
            </w:pPr>
          </w:p>
        </w:tc>
        <w:tc>
          <w:tcPr>
            <w:tcW w:w="1716" w:type="dxa"/>
            <w:vMerge w:val="continue"/>
            <w:tcBorders>
              <w:left w:val="nil"/>
              <w:bottom w:val="single" w:color="000000" w:sz="4" w:space="0"/>
              <w:right w:val="single" w:color="000000" w:sz="4" w:space="0"/>
            </w:tcBorders>
            <w:shd w:val="clear" w:color="auto" w:fill="F4F7F9"/>
            <w:vAlign w:val="center"/>
          </w:tcPr>
          <w:p>
            <w:pPr>
              <w:jc w:val="cente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restart"/>
            <w:tcBorders>
              <w:top w:val="nil"/>
              <w:left w:val="single" w:color="000000" w:sz="4" w:space="0"/>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专升本</w:t>
            </w: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计算机科学与技术</w:t>
            </w:r>
          </w:p>
        </w:tc>
        <w:tc>
          <w:tcPr>
            <w:tcW w:w="1776" w:type="dxa"/>
            <w:vMerge w:val="restart"/>
            <w:tcBorders>
              <w:top w:val="nil"/>
              <w:left w:val="nil"/>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1、计算机基础</w:t>
            </w:r>
          </w:p>
          <w:p>
            <w:pPr>
              <w:rPr>
                <w:rFonts w:ascii="宋体" w:hAnsi="宋体"/>
                <w:sz w:val="24"/>
                <w:szCs w:val="24"/>
              </w:rPr>
            </w:pPr>
            <w:r>
              <w:rPr>
                <w:rFonts w:hint="eastAsia" w:ascii="宋体" w:hAnsi="宋体"/>
                <w:sz w:val="24"/>
                <w:szCs w:val="24"/>
              </w:rPr>
              <w:t>2、大学英语</w:t>
            </w:r>
          </w:p>
          <w:p>
            <w:pPr>
              <w:rPr>
                <w:rFonts w:ascii="宋体" w:hAnsi="宋体"/>
                <w:sz w:val="24"/>
                <w:szCs w:val="24"/>
              </w:rPr>
            </w:pPr>
            <w:r>
              <w:rPr>
                <w:rFonts w:hint="eastAsia" w:ascii="宋体" w:hAnsi="宋体"/>
                <w:sz w:val="24"/>
                <w:szCs w:val="24"/>
              </w:rPr>
              <w:t>3、高等数学</w:t>
            </w:r>
          </w:p>
        </w:tc>
        <w:tc>
          <w:tcPr>
            <w:tcW w:w="1237" w:type="dxa"/>
            <w:vMerge w:val="restart"/>
            <w:tcBorders>
              <w:top w:val="nil"/>
              <w:left w:val="nil"/>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80学分</w:t>
            </w:r>
          </w:p>
        </w:tc>
        <w:tc>
          <w:tcPr>
            <w:tcW w:w="1716" w:type="dxa"/>
            <w:vMerge w:val="restart"/>
            <w:tcBorders>
              <w:top w:val="nil"/>
              <w:left w:val="nil"/>
              <w:right w:val="single" w:color="000000" w:sz="4" w:space="0"/>
            </w:tcBorders>
            <w:shd w:val="clear" w:color="auto" w:fill="F4F7F9"/>
            <w:vAlign w:val="center"/>
          </w:tcPr>
          <w:p>
            <w:pPr>
              <w:jc w:val="center"/>
              <w:rPr>
                <w:rFonts w:ascii="宋体" w:hAnsi="宋体"/>
                <w:sz w:val="24"/>
                <w:szCs w:val="24"/>
              </w:rPr>
            </w:pPr>
            <w:r>
              <w:rPr>
                <w:rFonts w:hint="eastAsia" w:ascii="宋体" w:hAnsi="宋体"/>
                <w:sz w:val="24"/>
                <w:szCs w:val="24"/>
              </w:rPr>
              <w:t>2.5 — 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right w:val="single" w:color="000000" w:sz="4" w:space="0"/>
            </w:tcBorders>
            <w:shd w:val="clear" w:color="auto" w:fill="F4F7F9"/>
            <w:vAlign w:val="center"/>
          </w:tcPr>
          <w:p>
            <w:pP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工商管理</w:t>
            </w:r>
          </w:p>
        </w:tc>
        <w:tc>
          <w:tcPr>
            <w:tcW w:w="1776" w:type="dxa"/>
            <w:vMerge w:val="continue"/>
            <w:tcBorders>
              <w:left w:val="nil"/>
              <w:right w:val="single" w:color="000000" w:sz="4" w:space="0"/>
            </w:tcBorders>
            <w:shd w:val="clear" w:color="auto" w:fill="F4F7F9"/>
            <w:vAlign w:val="center"/>
          </w:tcPr>
          <w:p>
            <w:pPr>
              <w:rPr>
                <w:rFonts w:ascii="宋体" w:hAnsi="宋体"/>
                <w:sz w:val="24"/>
                <w:szCs w:val="24"/>
              </w:rPr>
            </w:pPr>
          </w:p>
        </w:tc>
        <w:tc>
          <w:tcPr>
            <w:tcW w:w="1237" w:type="dxa"/>
            <w:vMerge w:val="continue"/>
            <w:tcBorders>
              <w:left w:val="nil"/>
              <w:right w:val="single" w:color="000000" w:sz="4" w:space="0"/>
            </w:tcBorders>
            <w:shd w:val="clear" w:color="auto" w:fill="F4F7F9"/>
            <w:vAlign w:val="center"/>
          </w:tcPr>
          <w:p>
            <w:pPr>
              <w:rPr>
                <w:rFonts w:ascii="宋体" w:hAnsi="宋体"/>
                <w:sz w:val="24"/>
                <w:szCs w:val="24"/>
              </w:rPr>
            </w:pPr>
          </w:p>
        </w:tc>
        <w:tc>
          <w:tcPr>
            <w:tcW w:w="1716" w:type="dxa"/>
            <w:vMerge w:val="continue"/>
            <w:tcBorders>
              <w:left w:val="nil"/>
              <w:right w:val="single" w:color="000000" w:sz="4" w:space="0"/>
            </w:tcBorders>
            <w:shd w:val="clear" w:color="auto" w:fill="F4F7F9"/>
            <w:vAlign w:val="center"/>
          </w:tcPr>
          <w:p>
            <w:pP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right w:val="single" w:color="000000" w:sz="4" w:space="0"/>
            </w:tcBorders>
            <w:shd w:val="clear" w:color="auto" w:fill="F4F7F9"/>
            <w:vAlign w:val="center"/>
          </w:tcPr>
          <w:p>
            <w:pP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会计学</w:t>
            </w:r>
          </w:p>
        </w:tc>
        <w:tc>
          <w:tcPr>
            <w:tcW w:w="1776" w:type="dxa"/>
            <w:vMerge w:val="continue"/>
            <w:tcBorders>
              <w:left w:val="nil"/>
              <w:right w:val="single" w:color="000000" w:sz="4" w:space="0"/>
            </w:tcBorders>
            <w:shd w:val="clear" w:color="auto" w:fill="F4F7F9"/>
            <w:vAlign w:val="center"/>
          </w:tcPr>
          <w:p>
            <w:pPr>
              <w:rPr>
                <w:rFonts w:ascii="宋体" w:hAnsi="宋体"/>
                <w:sz w:val="24"/>
                <w:szCs w:val="24"/>
              </w:rPr>
            </w:pPr>
          </w:p>
        </w:tc>
        <w:tc>
          <w:tcPr>
            <w:tcW w:w="1237" w:type="dxa"/>
            <w:vMerge w:val="continue"/>
            <w:tcBorders>
              <w:left w:val="nil"/>
              <w:right w:val="single" w:color="000000" w:sz="4" w:space="0"/>
            </w:tcBorders>
            <w:shd w:val="clear" w:color="auto" w:fill="F4F7F9"/>
            <w:vAlign w:val="center"/>
          </w:tcPr>
          <w:p>
            <w:pPr>
              <w:rPr>
                <w:rFonts w:ascii="宋体" w:hAnsi="宋体"/>
                <w:sz w:val="24"/>
                <w:szCs w:val="24"/>
              </w:rPr>
            </w:pPr>
          </w:p>
        </w:tc>
        <w:tc>
          <w:tcPr>
            <w:tcW w:w="1716" w:type="dxa"/>
            <w:vMerge w:val="continue"/>
            <w:tcBorders>
              <w:left w:val="nil"/>
              <w:right w:val="single" w:color="000000" w:sz="4" w:space="0"/>
            </w:tcBorders>
            <w:shd w:val="clear" w:color="auto" w:fill="F4F7F9"/>
            <w:vAlign w:val="center"/>
          </w:tcPr>
          <w:p>
            <w:pP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right w:val="single" w:color="000000" w:sz="4" w:space="0"/>
            </w:tcBorders>
            <w:shd w:val="clear" w:color="auto" w:fill="F4F7F9"/>
            <w:vAlign w:val="center"/>
          </w:tcPr>
          <w:p>
            <w:pP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电子商务</w:t>
            </w:r>
          </w:p>
        </w:tc>
        <w:tc>
          <w:tcPr>
            <w:tcW w:w="1776" w:type="dxa"/>
            <w:vMerge w:val="continue"/>
            <w:tcBorders>
              <w:left w:val="nil"/>
              <w:right w:val="single" w:color="000000" w:sz="4" w:space="0"/>
            </w:tcBorders>
            <w:shd w:val="clear" w:color="auto" w:fill="F4F7F9"/>
            <w:vAlign w:val="center"/>
          </w:tcPr>
          <w:p>
            <w:pPr>
              <w:rPr>
                <w:rFonts w:ascii="宋体" w:hAnsi="宋体"/>
                <w:sz w:val="24"/>
                <w:szCs w:val="24"/>
              </w:rPr>
            </w:pPr>
          </w:p>
        </w:tc>
        <w:tc>
          <w:tcPr>
            <w:tcW w:w="1237" w:type="dxa"/>
            <w:vMerge w:val="continue"/>
            <w:tcBorders>
              <w:left w:val="nil"/>
              <w:right w:val="single" w:color="000000" w:sz="4" w:space="0"/>
            </w:tcBorders>
            <w:shd w:val="clear" w:color="auto" w:fill="F4F7F9"/>
            <w:vAlign w:val="center"/>
          </w:tcPr>
          <w:p>
            <w:pPr>
              <w:rPr>
                <w:rFonts w:ascii="宋体" w:hAnsi="宋体"/>
                <w:sz w:val="24"/>
                <w:szCs w:val="24"/>
              </w:rPr>
            </w:pPr>
          </w:p>
        </w:tc>
        <w:tc>
          <w:tcPr>
            <w:tcW w:w="1716" w:type="dxa"/>
            <w:vMerge w:val="continue"/>
            <w:tcBorders>
              <w:left w:val="nil"/>
              <w:right w:val="single" w:color="000000" w:sz="4" w:space="0"/>
            </w:tcBorders>
            <w:shd w:val="clear" w:color="auto" w:fill="F4F7F9"/>
            <w:vAlign w:val="center"/>
          </w:tcPr>
          <w:p>
            <w:pP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right w:val="single" w:color="000000" w:sz="4" w:space="0"/>
            </w:tcBorders>
            <w:shd w:val="clear" w:color="auto" w:fill="F4F7F9"/>
            <w:vAlign w:val="center"/>
          </w:tcPr>
          <w:p>
            <w:pP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物流工程</w:t>
            </w:r>
          </w:p>
        </w:tc>
        <w:tc>
          <w:tcPr>
            <w:tcW w:w="1776" w:type="dxa"/>
            <w:vMerge w:val="continue"/>
            <w:tcBorders>
              <w:left w:val="nil"/>
              <w:right w:val="single" w:color="000000" w:sz="4" w:space="0"/>
            </w:tcBorders>
            <w:shd w:val="clear" w:color="auto" w:fill="F4F7F9"/>
            <w:vAlign w:val="center"/>
          </w:tcPr>
          <w:p>
            <w:pPr>
              <w:rPr>
                <w:rFonts w:ascii="宋体" w:hAnsi="宋体"/>
                <w:sz w:val="24"/>
                <w:szCs w:val="24"/>
              </w:rPr>
            </w:pPr>
          </w:p>
        </w:tc>
        <w:tc>
          <w:tcPr>
            <w:tcW w:w="1237" w:type="dxa"/>
            <w:vMerge w:val="continue"/>
            <w:tcBorders>
              <w:left w:val="nil"/>
              <w:right w:val="single" w:color="000000" w:sz="4" w:space="0"/>
            </w:tcBorders>
            <w:shd w:val="clear" w:color="auto" w:fill="F4F7F9"/>
            <w:vAlign w:val="center"/>
          </w:tcPr>
          <w:p>
            <w:pPr>
              <w:rPr>
                <w:rFonts w:ascii="宋体" w:hAnsi="宋体"/>
                <w:sz w:val="24"/>
                <w:szCs w:val="24"/>
              </w:rPr>
            </w:pPr>
          </w:p>
        </w:tc>
        <w:tc>
          <w:tcPr>
            <w:tcW w:w="1716" w:type="dxa"/>
            <w:vMerge w:val="continue"/>
            <w:tcBorders>
              <w:left w:val="nil"/>
              <w:right w:val="single" w:color="000000" w:sz="4" w:space="0"/>
            </w:tcBorders>
            <w:shd w:val="clear" w:color="auto" w:fill="F4F7F9"/>
            <w:vAlign w:val="center"/>
          </w:tcPr>
          <w:p>
            <w:pP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right w:val="single" w:color="000000" w:sz="4" w:space="0"/>
            </w:tcBorders>
            <w:shd w:val="clear" w:color="auto" w:fill="F4F7F9"/>
            <w:vAlign w:val="center"/>
          </w:tcPr>
          <w:p>
            <w:pP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自动化</w:t>
            </w:r>
          </w:p>
        </w:tc>
        <w:tc>
          <w:tcPr>
            <w:tcW w:w="1776" w:type="dxa"/>
            <w:vMerge w:val="continue"/>
            <w:tcBorders>
              <w:left w:val="nil"/>
              <w:right w:val="single" w:color="000000" w:sz="4" w:space="0"/>
            </w:tcBorders>
            <w:shd w:val="clear" w:color="auto" w:fill="F4F7F9"/>
            <w:vAlign w:val="center"/>
          </w:tcPr>
          <w:p>
            <w:pPr>
              <w:rPr>
                <w:rFonts w:ascii="宋体" w:hAnsi="宋体"/>
                <w:sz w:val="24"/>
                <w:szCs w:val="24"/>
              </w:rPr>
            </w:pPr>
          </w:p>
        </w:tc>
        <w:tc>
          <w:tcPr>
            <w:tcW w:w="1237" w:type="dxa"/>
            <w:vMerge w:val="continue"/>
            <w:tcBorders>
              <w:left w:val="nil"/>
              <w:right w:val="single" w:color="000000" w:sz="4" w:space="0"/>
            </w:tcBorders>
            <w:shd w:val="clear" w:color="auto" w:fill="F4F7F9"/>
            <w:vAlign w:val="center"/>
          </w:tcPr>
          <w:p>
            <w:pPr>
              <w:rPr>
                <w:rFonts w:ascii="宋体" w:hAnsi="宋体"/>
                <w:sz w:val="24"/>
                <w:szCs w:val="24"/>
              </w:rPr>
            </w:pPr>
          </w:p>
        </w:tc>
        <w:tc>
          <w:tcPr>
            <w:tcW w:w="1716" w:type="dxa"/>
            <w:vMerge w:val="continue"/>
            <w:tcBorders>
              <w:left w:val="nil"/>
              <w:right w:val="single" w:color="000000" w:sz="4" w:space="0"/>
            </w:tcBorders>
            <w:shd w:val="clear" w:color="auto" w:fill="F4F7F9"/>
            <w:vAlign w:val="center"/>
          </w:tcPr>
          <w:p>
            <w:pPr>
              <w:rPr>
                <w:rFonts w:ascii="宋体" w:hAns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atLeast"/>
          <w:jc w:val="center"/>
        </w:trPr>
        <w:tc>
          <w:tcPr>
            <w:tcW w:w="1258" w:type="dxa"/>
            <w:vMerge w:val="continue"/>
            <w:tcBorders>
              <w:left w:val="single" w:color="000000" w:sz="4" w:space="0"/>
              <w:bottom w:val="single" w:color="000000" w:sz="4" w:space="0"/>
              <w:right w:val="single" w:color="000000" w:sz="4" w:space="0"/>
            </w:tcBorders>
            <w:shd w:val="clear" w:color="auto" w:fill="F4F7F9"/>
            <w:vAlign w:val="center"/>
          </w:tcPr>
          <w:p>
            <w:pPr>
              <w:rPr>
                <w:rFonts w:ascii="宋体" w:hAnsi="宋体"/>
                <w:sz w:val="24"/>
                <w:szCs w:val="24"/>
              </w:rPr>
            </w:pPr>
          </w:p>
        </w:tc>
        <w:tc>
          <w:tcPr>
            <w:tcW w:w="2535" w:type="dxa"/>
            <w:tcBorders>
              <w:top w:val="nil"/>
              <w:left w:val="nil"/>
              <w:bottom w:val="single" w:color="000000" w:sz="4" w:space="0"/>
              <w:right w:val="single" w:color="000000" w:sz="4" w:space="0"/>
            </w:tcBorders>
            <w:shd w:val="clear" w:color="auto" w:fill="F4F7F9"/>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市场营销</w:t>
            </w:r>
          </w:p>
        </w:tc>
        <w:tc>
          <w:tcPr>
            <w:tcW w:w="1776" w:type="dxa"/>
            <w:vMerge w:val="continue"/>
            <w:tcBorders>
              <w:left w:val="nil"/>
              <w:bottom w:val="single" w:color="000000" w:sz="4" w:space="0"/>
              <w:right w:val="single" w:color="000000" w:sz="4" w:space="0"/>
            </w:tcBorders>
            <w:shd w:val="clear" w:color="auto" w:fill="F4F7F9"/>
            <w:vAlign w:val="center"/>
          </w:tcPr>
          <w:p>
            <w:pPr>
              <w:rPr>
                <w:rFonts w:ascii="宋体" w:hAnsi="宋体"/>
                <w:sz w:val="24"/>
                <w:szCs w:val="24"/>
              </w:rPr>
            </w:pPr>
          </w:p>
        </w:tc>
        <w:tc>
          <w:tcPr>
            <w:tcW w:w="1237" w:type="dxa"/>
            <w:vMerge w:val="continue"/>
            <w:tcBorders>
              <w:left w:val="nil"/>
              <w:bottom w:val="single" w:color="000000" w:sz="4" w:space="0"/>
              <w:right w:val="single" w:color="000000" w:sz="4" w:space="0"/>
            </w:tcBorders>
            <w:shd w:val="clear" w:color="auto" w:fill="F4F7F9"/>
            <w:vAlign w:val="center"/>
          </w:tcPr>
          <w:p>
            <w:pPr>
              <w:rPr>
                <w:rFonts w:ascii="宋体" w:hAnsi="宋体"/>
                <w:sz w:val="24"/>
                <w:szCs w:val="24"/>
              </w:rPr>
            </w:pPr>
          </w:p>
        </w:tc>
        <w:tc>
          <w:tcPr>
            <w:tcW w:w="1716" w:type="dxa"/>
            <w:vMerge w:val="continue"/>
            <w:tcBorders>
              <w:left w:val="nil"/>
              <w:bottom w:val="single" w:color="000000" w:sz="4" w:space="0"/>
              <w:right w:val="single" w:color="000000" w:sz="4" w:space="0"/>
            </w:tcBorders>
            <w:shd w:val="clear" w:color="auto" w:fill="F4F7F9"/>
            <w:vAlign w:val="center"/>
          </w:tcPr>
          <w:p>
            <w:pPr>
              <w:rPr>
                <w:rFonts w:ascii="宋体" w:hAnsi="宋体"/>
                <w:sz w:val="24"/>
                <w:szCs w:val="24"/>
              </w:rPr>
            </w:pPr>
          </w:p>
        </w:tc>
      </w:tr>
    </w:tbl>
    <w:p>
      <w:pPr>
        <w:rPr>
          <w:rFonts w:ascii="宋体" w:hAnsi="宋体"/>
          <w:b/>
          <w:sz w:val="24"/>
          <w:szCs w:val="24"/>
        </w:rPr>
      </w:pPr>
      <w:r>
        <w:rPr>
          <w:rFonts w:hint="eastAsia" w:ascii="宋体" w:hAnsi="宋体"/>
          <w:b/>
          <w:sz w:val="24"/>
          <w:szCs w:val="24"/>
        </w:rPr>
        <w:t>☆ 录取办法</w:t>
      </w:r>
    </w:p>
    <w:p>
      <w:pPr>
        <w:rPr>
          <w:rFonts w:ascii="宋体" w:hAnsi="宋体"/>
          <w:sz w:val="24"/>
          <w:szCs w:val="24"/>
        </w:rPr>
      </w:pPr>
      <w:r>
        <w:rPr>
          <w:rFonts w:hint="eastAsia" w:ascii="宋体" w:hAnsi="宋体"/>
          <w:sz w:val="24"/>
          <w:szCs w:val="24"/>
        </w:rPr>
        <w:t>择优录取</w:t>
      </w:r>
    </w:p>
    <w:p>
      <w:pPr>
        <w:rPr>
          <w:rFonts w:ascii="宋体" w:hAnsi="宋体"/>
          <w:b/>
          <w:sz w:val="24"/>
          <w:szCs w:val="24"/>
        </w:rPr>
      </w:pPr>
      <w:r>
        <w:rPr>
          <w:rFonts w:hint="eastAsia" w:ascii="宋体" w:hAnsi="宋体"/>
          <w:b/>
          <w:sz w:val="24"/>
          <w:szCs w:val="24"/>
        </w:rPr>
        <w:t>☆ 收费标准</w:t>
      </w:r>
    </w:p>
    <w:p>
      <w:pPr>
        <w:rPr>
          <w:rFonts w:ascii="宋体" w:hAnsi="宋体"/>
          <w:sz w:val="24"/>
          <w:szCs w:val="24"/>
        </w:rPr>
      </w:pPr>
      <w:r>
        <w:rPr>
          <w:rFonts w:hint="eastAsia" w:ascii="宋体" w:hAnsi="宋体"/>
          <w:sz w:val="24"/>
          <w:szCs w:val="24"/>
        </w:rPr>
        <w:t>考试报名费100元。学员通过考试可被录取，并经网络公示确认为资助对象的，注册学籍时需缴纳学费2000元，其余学费由团省委、团市委、高校及学员所在单位协助解决。</w:t>
      </w:r>
    </w:p>
    <w:p>
      <w:pPr>
        <w:rPr>
          <w:rFonts w:ascii="宋体" w:hAnsi="宋体"/>
          <w:b/>
          <w:sz w:val="24"/>
          <w:szCs w:val="24"/>
        </w:rPr>
      </w:pPr>
      <w:r>
        <w:rPr>
          <w:rFonts w:hint="eastAsia" w:ascii="宋体" w:hAnsi="宋体"/>
          <w:b/>
          <w:sz w:val="24"/>
          <w:szCs w:val="24"/>
        </w:rPr>
        <w:t>☆ 学习形式</w:t>
      </w:r>
    </w:p>
    <w:p>
      <w:pPr>
        <w:rPr>
          <w:rFonts w:ascii="宋体" w:hAnsi="宋体"/>
          <w:sz w:val="24"/>
          <w:szCs w:val="24"/>
        </w:rPr>
      </w:pPr>
      <w:r>
        <w:rPr>
          <w:rFonts w:hint="eastAsia" w:ascii="宋体" w:hAnsi="宋体"/>
          <w:sz w:val="24"/>
          <w:szCs w:val="24"/>
        </w:rPr>
        <w:t>集中导学+自主学习（网上点播课件、教材学习）+网上作业+网上答疑+网上领取考前辅导资料+预约考试</w:t>
      </w:r>
    </w:p>
    <w:p>
      <w:pPr>
        <w:rPr>
          <w:rFonts w:ascii="宋体" w:hAnsi="宋体"/>
          <w:b/>
          <w:sz w:val="24"/>
          <w:szCs w:val="24"/>
        </w:rPr>
      </w:pPr>
      <w:r>
        <w:rPr>
          <w:rFonts w:hint="eastAsia" w:ascii="宋体" w:hAnsi="宋体"/>
          <w:b/>
          <w:sz w:val="24"/>
          <w:szCs w:val="24"/>
        </w:rPr>
        <w:t>☆ 课程考试</w:t>
      </w:r>
    </w:p>
    <w:p>
      <w:pPr>
        <w:rPr>
          <w:rFonts w:ascii="宋体" w:hAnsi="宋体"/>
          <w:sz w:val="24"/>
          <w:szCs w:val="24"/>
        </w:rPr>
      </w:pPr>
      <w:r>
        <w:rPr>
          <w:rFonts w:hint="eastAsia" w:ascii="宋体" w:hAnsi="宋体"/>
          <w:sz w:val="24"/>
          <w:szCs w:val="24"/>
        </w:rPr>
        <w:t>采取考试科、考核科的分类，以统考、机考，笔考或作业成绩评定等形式，每年两次，本地举办，预约参加。</w:t>
      </w:r>
    </w:p>
    <w:p>
      <w:pPr>
        <w:rPr>
          <w:rFonts w:ascii="宋体" w:hAnsi="宋体"/>
          <w:b/>
          <w:sz w:val="24"/>
          <w:szCs w:val="24"/>
        </w:rPr>
      </w:pPr>
      <w:r>
        <w:rPr>
          <w:rFonts w:hint="eastAsia" w:ascii="宋体" w:hAnsi="宋体"/>
          <w:b/>
          <w:sz w:val="24"/>
          <w:szCs w:val="24"/>
        </w:rPr>
        <w:t>☆ 毕业及颁证</w:t>
      </w:r>
    </w:p>
    <w:p>
      <w:pPr>
        <w:rPr>
          <w:rFonts w:ascii="宋体" w:hAnsi="宋体"/>
          <w:sz w:val="24"/>
          <w:szCs w:val="24"/>
        </w:rPr>
      </w:pPr>
      <w:r>
        <w:rPr>
          <w:rFonts w:hint="eastAsia" w:ascii="宋体" w:hAnsi="宋体"/>
          <w:sz w:val="24"/>
          <w:szCs w:val="24"/>
        </w:rPr>
        <w:t>学生在规定学习期限内修满教学计划规定的全部学分，专升本学生在读期间须参加教育部关于高校网络教育部分公共基础课的统一考试，成绩合格者，可颁发经教育部电子注册、国家承认学历的北京邮电大学专科、本科毕业证书。 </w:t>
      </w:r>
    </w:p>
    <w:p>
      <w:pPr>
        <w:rPr>
          <w:rFonts w:ascii="宋体" w:hAnsi="宋体"/>
          <w:sz w:val="24"/>
          <w:szCs w:val="24"/>
        </w:rPr>
      </w:pPr>
      <w:r>
        <w:rPr>
          <w:rFonts w:hint="eastAsia" w:ascii="宋体" w:hAnsi="宋体"/>
          <w:sz w:val="24"/>
          <w:szCs w:val="24"/>
        </w:rPr>
        <w:t>符合学士学位授予条件的本科毕业生，按北京邮电大学学位管理有关规定，由北京邮电大学授予相应的成人高等教育学士学位。</w:t>
      </w:r>
    </w:p>
    <w:p>
      <w:pPr>
        <w:spacing w:line="360" w:lineRule="auto"/>
        <w:rPr>
          <w:szCs w:val="21"/>
        </w:rPr>
      </w:pPr>
    </w:p>
    <w:p>
      <w:pPr>
        <w:spacing w:line="360" w:lineRule="auto"/>
        <w:rPr>
          <w:szCs w:val="21"/>
        </w:rPr>
      </w:pPr>
      <w:r>
        <w:rPr>
          <w:rFonts w:hint="eastAsia"/>
          <w:szCs w:val="21"/>
        </w:rPr>
        <w:t>附北京邮电大学远程教育毕业证书样本</w:t>
      </w:r>
    </w:p>
    <w:p>
      <w:pPr>
        <w:spacing w:line="360" w:lineRule="auto"/>
        <w:rPr>
          <w:szCs w:val="21"/>
        </w:rPr>
      </w:pPr>
      <w:r>
        <w:rPr>
          <w:rFonts w:hint="eastAsia" w:ascii="Calibri" w:hAnsi="Calibri" w:eastAsia="宋体"/>
          <w:kern w:val="2"/>
          <w:sz w:val="21"/>
          <w:szCs w:val="21"/>
          <w:lang w:val="en-US" w:eastAsia="zh-CN" w:bidi="ar-SA"/>
        </w:rPr>
        <w:pict>
          <v:shape id="图片 5" o:spid="_x0000_s1026" type="#_x0000_t75" style="height:90pt;width:117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Calibri" w:hAnsi="Calibri" w:eastAsia="宋体"/>
          <w:kern w:val="2"/>
          <w:sz w:val="21"/>
          <w:szCs w:val="21"/>
          <w:lang w:val="en-US" w:eastAsia="zh-CN" w:bidi="ar-SA"/>
        </w:rPr>
        <w:pict>
          <v:shape id="图片 6" o:spid="_x0000_s1027" type="#_x0000_t75" style="height:95.25pt;width:132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Calibri" w:hAnsi="Calibri" w:eastAsia="宋体"/>
          <w:kern w:val="2"/>
          <w:sz w:val="21"/>
          <w:szCs w:val="21"/>
          <w:lang w:val="en-US" w:eastAsia="zh-CN" w:bidi="ar-SA"/>
        </w:rPr>
        <w:pict>
          <v:shape id="图片 7" o:spid="_x0000_s1028" type="#_x0000_t75" style="height:94.5pt;width:13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rPr>
          <w:rFonts w:ascii="宋体" w:hAnsi="宋体"/>
          <w:sz w:val="24"/>
          <w:szCs w:val="24"/>
        </w:rPr>
      </w:pPr>
    </w:p>
    <w:p>
      <w:pPr>
        <w:rPr>
          <w:rFonts w:ascii="宋体" w:hAnsi="宋体"/>
          <w:sz w:val="24"/>
          <w:szCs w:val="24"/>
        </w:rPr>
      </w:pPr>
      <w:r>
        <w:rPr>
          <w:rFonts w:hint="eastAsia" w:ascii="宋体" w:hAnsi="宋体"/>
          <w:sz w:val="24"/>
          <w:szCs w:val="24"/>
        </w:rPr>
        <w:t>本报考须知最终解释权归广东·珠海新生代产业工人圆梦计划办公室所有。</w:t>
      </w:r>
    </w:p>
    <w:p>
      <w:pPr>
        <w:rPr>
          <w:rFonts w:ascii="宋体" w:hAnsi="宋体"/>
          <w:b/>
          <w:sz w:val="24"/>
          <w:szCs w:val="24"/>
        </w:rPr>
      </w:pPr>
      <w:r>
        <w:rPr>
          <w:rFonts w:hint="eastAsia" w:ascii="宋体" w:hAnsi="宋体"/>
          <w:b/>
          <w:sz w:val="24"/>
          <w:szCs w:val="24"/>
        </w:rPr>
        <w:t>☆　报名联系方式</w:t>
      </w:r>
    </w:p>
    <w:p>
      <w:pPr>
        <w:rPr>
          <w:rFonts w:ascii="宋体" w:hAnsi="宋体"/>
          <w:sz w:val="24"/>
          <w:szCs w:val="24"/>
        </w:rPr>
      </w:pPr>
      <w:r>
        <w:rPr>
          <w:rFonts w:hint="eastAsia" w:ascii="宋体" w:hAnsi="宋体"/>
          <w:sz w:val="24"/>
          <w:szCs w:val="24"/>
        </w:rPr>
        <w:t>北京邮电大学珠海学习中心联系人：刘老师（13417725584）</w:t>
      </w:r>
    </w:p>
    <w:p>
      <w:pPr>
        <w:rPr>
          <w:rFonts w:ascii="宋体" w:hAnsi="宋体"/>
          <w:sz w:val="24"/>
          <w:szCs w:val="24"/>
        </w:rPr>
      </w:pPr>
      <w:r>
        <w:rPr>
          <w:rFonts w:hint="eastAsia" w:ascii="宋体" w:hAnsi="宋体"/>
          <w:sz w:val="24"/>
          <w:szCs w:val="24"/>
        </w:rPr>
        <w:t>咨询电话：0756-6126761 6126168 6126706 </w:t>
      </w:r>
    </w:p>
    <w:p>
      <w:pPr>
        <w:rPr>
          <w:rFonts w:ascii="宋体" w:hAnsi="宋体"/>
          <w:sz w:val="24"/>
          <w:szCs w:val="24"/>
        </w:rPr>
      </w:pPr>
      <w:r>
        <w:rPr>
          <w:rFonts w:hint="eastAsia" w:ascii="宋体" w:hAnsi="宋体"/>
          <w:sz w:val="24"/>
          <w:szCs w:val="24"/>
        </w:rPr>
        <w:t>报名地点：北京邮电大学现代远程教育珠海学习中心（珠海市唐家湾金凤路北京师范大学珠海分校励耘楼B座（励耘街电梯旁） 信息技术培训中心）</w:t>
      </w:r>
    </w:p>
    <w:p>
      <w:pPr>
        <w:rPr>
          <w:rFonts w:ascii="宋体" w:hAnsi="宋体"/>
          <w:sz w:val="24"/>
          <w:szCs w:val="24"/>
        </w:rPr>
      </w:pPr>
      <w:r>
        <w:rPr>
          <w:rFonts w:hint="eastAsia" w:ascii="宋体" w:hAnsi="宋体"/>
          <w:sz w:val="24"/>
          <w:szCs w:val="24"/>
        </w:rPr>
        <w:t>信息技术培训中心网址：ittc.bnuep.com</w:t>
      </w:r>
    </w:p>
    <w:p>
      <w:pPr>
        <w:rPr>
          <w:rFonts w:ascii="宋体" w:hAnsi="宋体"/>
          <w:sz w:val="24"/>
          <w:szCs w:val="24"/>
        </w:rPr>
      </w:pPr>
    </w:p>
    <w:p>
      <w:pPr>
        <w:rPr>
          <w:rFonts w:ascii="宋体" w:hAnsi="宋体"/>
          <w:sz w:val="24"/>
          <w:szCs w:val="24"/>
        </w:rPr>
      </w:pPr>
    </w:p>
    <w:p>
      <w:pPr>
        <w:ind w:firstLine="4080" w:firstLineChars="1700"/>
        <w:rPr>
          <w:rFonts w:ascii="宋体" w:hAnsi="宋体"/>
          <w:sz w:val="24"/>
          <w:szCs w:val="24"/>
        </w:rPr>
      </w:pPr>
      <w:r>
        <w:rPr>
          <w:rFonts w:hint="eastAsia" w:ascii="宋体" w:hAnsi="宋体"/>
          <w:sz w:val="24"/>
          <w:szCs w:val="24"/>
        </w:rPr>
        <w:t>北京邮电大学现代远程教育</w:t>
      </w:r>
    </w:p>
    <w:p>
      <w:pPr>
        <w:ind w:firstLine="4080" w:firstLineChars="1700"/>
        <w:rPr>
          <w:rFonts w:ascii="宋体" w:hAnsi="宋体"/>
          <w:sz w:val="24"/>
          <w:szCs w:val="24"/>
        </w:rPr>
      </w:pPr>
      <w:r>
        <w:rPr>
          <w:rFonts w:hint="eastAsia" w:ascii="宋体" w:hAnsi="宋体"/>
          <w:sz w:val="24"/>
          <w:szCs w:val="24"/>
        </w:rPr>
        <w:t>北京师范大学珠海分校学习中心</w:t>
      </w:r>
    </w:p>
    <w:p>
      <w:pPr>
        <w:ind w:firstLine="4200" w:firstLineChars="1750"/>
        <w:rPr>
          <w:rFonts w:ascii="宋体" w:hAnsi="宋体"/>
          <w:sz w:val="24"/>
          <w:szCs w:val="24"/>
        </w:rPr>
      </w:pPr>
      <w:r>
        <w:rPr>
          <w:rFonts w:hint="eastAsia" w:ascii="宋体" w:hAnsi="宋体"/>
          <w:sz w:val="24"/>
          <w:szCs w:val="24"/>
        </w:rPr>
        <w:t>2015.06.15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E10002FF" w:usb1="4000ACFF" w:usb2="00000009" w:usb3="00000000" w:csb0="0000019F" w:csb1="00000000"/>
  </w:font>
  <w:font w:name="Lucida Sans">
    <w:panose1 w:val="020B0602030504020204"/>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34837"/>
    <w:rsid w:val="00034837"/>
    <w:rsid w:val="0014583B"/>
    <w:rsid w:val="00181B57"/>
    <w:rsid w:val="00206C23"/>
    <w:rsid w:val="00255668"/>
    <w:rsid w:val="002A400F"/>
    <w:rsid w:val="002D7B57"/>
    <w:rsid w:val="003519E7"/>
    <w:rsid w:val="0038509F"/>
    <w:rsid w:val="00385FAA"/>
    <w:rsid w:val="004D3E52"/>
    <w:rsid w:val="005100F1"/>
    <w:rsid w:val="0053236A"/>
    <w:rsid w:val="005740CA"/>
    <w:rsid w:val="005D6D8E"/>
    <w:rsid w:val="00623600"/>
    <w:rsid w:val="00634B33"/>
    <w:rsid w:val="0067703E"/>
    <w:rsid w:val="00690DE4"/>
    <w:rsid w:val="006E3D79"/>
    <w:rsid w:val="00705570"/>
    <w:rsid w:val="00721D97"/>
    <w:rsid w:val="007B4B41"/>
    <w:rsid w:val="007E1A52"/>
    <w:rsid w:val="009470FE"/>
    <w:rsid w:val="00956C24"/>
    <w:rsid w:val="00981C7D"/>
    <w:rsid w:val="009E7FD8"/>
    <w:rsid w:val="00A61FF9"/>
    <w:rsid w:val="00AA47BA"/>
    <w:rsid w:val="00AE1BC9"/>
    <w:rsid w:val="00B367A0"/>
    <w:rsid w:val="00CB79AB"/>
    <w:rsid w:val="00D02FF0"/>
    <w:rsid w:val="00D20A9C"/>
    <w:rsid w:val="00E12198"/>
    <w:rsid w:val="00E32B54"/>
    <w:rsid w:val="00F72765"/>
    <w:rsid w:val="00F75011"/>
    <w:rsid w:val="00F85B19"/>
    <w:rsid w:val="00FF5E5B"/>
    <w:rsid w:val="0E52758D"/>
    <w:rsid w:val="243D7784"/>
    <w:rsid w:val="3F452F8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4"/>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uiPriority w:val="99"/>
    <w:rPr>
      <w:color w:val="800080"/>
      <w:u w:val="single"/>
    </w:rPr>
  </w:style>
  <w:style w:type="character" w:styleId="7">
    <w:name w:val="Hyperlink"/>
    <w:basedOn w:val="5"/>
    <w:unhideWhenUsed/>
    <w:uiPriority w:val="99"/>
    <w:rPr>
      <w:color w:val="0000FF"/>
      <w:u w:val="single"/>
    </w:rPr>
  </w:style>
  <w:style w:type="paragraph" w:customStyle="1" w:styleId="9">
    <w:name w:val="p16"/>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p0"/>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15"/>
    <w:basedOn w:val="5"/>
    <w:uiPriority w:val="0"/>
    <w:rPr/>
  </w:style>
  <w:style w:type="character" w:customStyle="1" w:styleId="14">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292</Words>
  <Characters>1670</Characters>
  <Lines>13</Lines>
  <Paragraphs>3</Paragraphs>
  <TotalTime>0</TotalTime>
  <ScaleCrop>false</ScaleCrop>
  <LinksUpToDate>false</LinksUpToDate>
  <CharactersWithSpaces>0</CharactersWithSpaces>
  <Application>WPS Office_9.1.0.5100_{F1E327BC-269C-435d-A152-05C5408002CA}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2014-07-08T02:25:00Z</dcterms:created>
  <dc:creator>Windows 用户</dc:creator>
  <cp:lastModifiedBy>Administrator</cp:lastModifiedBy>
  <dcterms:modified xsi:type="dcterms:W3CDTF">2015-06-18T08:31:44Z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2052-9.1.0.5100</vt:lpwstr>
  </property>
</Properties>
</file>