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0A" w:rsidRDefault="006D67EA">
      <w:pPr>
        <w:jc w:val="center"/>
        <w:rPr>
          <w:rFonts w:ascii="宋体" w:hAnsi="宋体"/>
          <w:b/>
          <w:sz w:val="72"/>
          <w:szCs w:val="72"/>
        </w:rPr>
      </w:pPr>
      <w:bookmarkStart w:id="0" w:name="_GoBack"/>
      <w:bookmarkEnd w:id="0"/>
      <w:r>
        <w:rPr>
          <w:rFonts w:ascii="宋体" w:hAnsi="宋体" w:hint="eastAsia"/>
          <w:b/>
          <w:sz w:val="72"/>
          <w:szCs w:val="72"/>
        </w:rPr>
        <w:t>浙</w:t>
      </w:r>
      <w:r>
        <w:rPr>
          <w:rFonts w:ascii="宋体" w:hAnsi="宋体" w:hint="eastAsia"/>
          <w:b/>
          <w:sz w:val="72"/>
          <w:szCs w:val="72"/>
        </w:rPr>
        <w:t xml:space="preserve">  </w:t>
      </w:r>
      <w:r>
        <w:rPr>
          <w:rFonts w:ascii="宋体" w:hAnsi="宋体" w:hint="eastAsia"/>
          <w:b/>
          <w:sz w:val="72"/>
          <w:szCs w:val="72"/>
        </w:rPr>
        <w:t>江</w:t>
      </w:r>
      <w:r>
        <w:rPr>
          <w:rFonts w:ascii="宋体" w:hAnsi="宋体" w:hint="eastAsia"/>
          <w:b/>
          <w:sz w:val="72"/>
          <w:szCs w:val="72"/>
        </w:rPr>
        <w:t xml:space="preserve">  </w:t>
      </w:r>
      <w:r>
        <w:rPr>
          <w:rFonts w:ascii="宋体" w:hAnsi="宋体" w:hint="eastAsia"/>
          <w:b/>
          <w:sz w:val="72"/>
          <w:szCs w:val="72"/>
        </w:rPr>
        <w:t>大</w:t>
      </w:r>
      <w:r>
        <w:rPr>
          <w:rFonts w:ascii="宋体" w:hAnsi="宋体" w:hint="eastAsia"/>
          <w:b/>
          <w:sz w:val="72"/>
          <w:szCs w:val="72"/>
        </w:rPr>
        <w:t xml:space="preserve">  </w:t>
      </w:r>
      <w:r>
        <w:rPr>
          <w:rFonts w:ascii="宋体" w:hAnsi="宋体" w:hint="eastAsia"/>
          <w:b/>
          <w:sz w:val="72"/>
          <w:szCs w:val="72"/>
        </w:rPr>
        <w:t>学</w:t>
      </w:r>
    </w:p>
    <w:p w:rsidR="00C3610A" w:rsidRDefault="006D67EA">
      <w:pPr>
        <w:jc w:val="center"/>
        <w:rPr>
          <w:rFonts w:ascii="宋体" w:hAnsi="宋体"/>
          <w:b/>
          <w:sz w:val="52"/>
          <w:szCs w:val="52"/>
        </w:rPr>
      </w:pPr>
      <w:r>
        <w:rPr>
          <w:rFonts w:ascii="宋体" w:hAnsi="宋体" w:hint="eastAsia"/>
          <w:b/>
          <w:sz w:val="52"/>
          <w:szCs w:val="52"/>
        </w:rPr>
        <w:t>远程教育</w:t>
      </w:r>
      <w:r>
        <w:rPr>
          <w:rFonts w:ascii="宋体" w:hAnsi="宋体" w:hint="eastAsia"/>
          <w:b/>
          <w:sz w:val="52"/>
          <w:szCs w:val="52"/>
        </w:rPr>
        <w:t>2016</w:t>
      </w:r>
      <w:r>
        <w:rPr>
          <w:rFonts w:ascii="宋体" w:hAnsi="宋体" w:hint="eastAsia"/>
          <w:b/>
          <w:sz w:val="52"/>
          <w:szCs w:val="52"/>
        </w:rPr>
        <w:t>年秋季招生简章</w:t>
      </w:r>
    </w:p>
    <w:p w:rsidR="00C3610A" w:rsidRDefault="00C3610A">
      <w:pPr>
        <w:jc w:val="center"/>
        <w:rPr>
          <w:rFonts w:ascii="宋体" w:hAnsi="宋体"/>
          <w:sz w:val="24"/>
        </w:rPr>
      </w:pPr>
    </w:p>
    <w:p w:rsidR="00C3610A" w:rsidRDefault="006D67EA">
      <w:pPr>
        <w:pStyle w:val="a6"/>
        <w:spacing w:line="360" w:lineRule="auto"/>
        <w:ind w:firstLineChars="200" w:firstLine="480"/>
      </w:pPr>
      <w:r>
        <w:rPr>
          <w:rFonts w:hint="eastAsia"/>
        </w:rPr>
        <w:t>浙江大学</w:t>
      </w:r>
      <w:r>
        <w:t>是一所历史悠久</w:t>
      </w:r>
      <w:r>
        <w:rPr>
          <w:rFonts w:hint="eastAsia"/>
        </w:rPr>
        <w:t>、声誉卓著</w:t>
      </w:r>
      <w:r>
        <w:t>的</w:t>
      </w:r>
      <w:r>
        <w:rPr>
          <w:rFonts w:hint="eastAsia"/>
        </w:rPr>
        <w:t>高等学府。经过近</w:t>
      </w:r>
      <w:r>
        <w:rPr>
          <w:rFonts w:hint="eastAsia"/>
        </w:rPr>
        <w:t>120</w:t>
      </w:r>
      <w:r>
        <w:rPr>
          <w:rFonts w:hint="eastAsia"/>
        </w:rPr>
        <w:t>年的建设与发展，浙江大学已成为一所特色鲜明，在海内外有较大影响的综合型、研究型、创新型大学。</w:t>
      </w:r>
    </w:p>
    <w:p w:rsidR="00C3610A" w:rsidRDefault="006D67EA">
      <w:pPr>
        <w:pStyle w:val="a6"/>
        <w:spacing w:line="360" w:lineRule="auto"/>
        <w:ind w:firstLineChars="200" w:firstLine="480"/>
      </w:pPr>
      <w:r>
        <w:rPr>
          <w:rFonts w:hint="eastAsia"/>
        </w:rPr>
        <w:t>浙江大学是教育部批准开展现代远程教育的第一批四所试点高校之一，</w:t>
      </w:r>
      <w:r>
        <w:rPr>
          <w:rFonts w:hint="eastAsia"/>
          <w:u w:color="FFFFFF"/>
        </w:rPr>
        <w:t>也是卫生部确定的全国远程医学教育首批示范试点单位。</w:t>
      </w:r>
      <w:r>
        <w:rPr>
          <w:rFonts w:hint="eastAsia"/>
        </w:rPr>
        <w:t>自</w:t>
      </w:r>
      <w:r>
        <w:rPr>
          <w:rFonts w:hint="eastAsia"/>
        </w:rPr>
        <w:t>1998</w:t>
      </w:r>
      <w:r>
        <w:rPr>
          <w:rFonts w:hint="eastAsia"/>
        </w:rPr>
        <w:t>年开始现代远程教育试点，目前浙江大学远程教育已设有</w:t>
      </w:r>
      <w:r>
        <w:rPr>
          <w:rFonts w:hint="eastAsia"/>
        </w:rPr>
        <w:t>20</w:t>
      </w:r>
      <w:r>
        <w:rPr>
          <w:rFonts w:hint="eastAsia"/>
        </w:rPr>
        <w:t>多个专业，</w:t>
      </w:r>
      <w:r>
        <w:rPr>
          <w:rFonts w:cs="Arial" w:hint="eastAsia"/>
        </w:rPr>
        <w:t>涉及文学、经济学、管理学、教育学、医学、法学、工学、农学等学科，是学科涉及面较广、开设专业较多的网络院校之一</w:t>
      </w:r>
      <w:r>
        <w:rPr>
          <w:rFonts w:hint="eastAsia"/>
        </w:rPr>
        <w:t>。办学以来，浙江大学远程教育秉承“求是创新”的校训，坚持以质量为本，以规范求发展，在社会上赢得了良好的声誉。</w:t>
      </w:r>
    </w:p>
    <w:p w:rsidR="00C3610A" w:rsidRDefault="00C3610A">
      <w:pPr>
        <w:spacing w:line="360" w:lineRule="auto"/>
        <w:ind w:left="420"/>
        <w:jc w:val="center"/>
        <w:rPr>
          <w:rFonts w:ascii="宋体" w:hAnsi="宋体"/>
          <w:sz w:val="24"/>
        </w:rPr>
      </w:pPr>
    </w:p>
    <w:p w:rsidR="00C3610A" w:rsidRDefault="006D67EA">
      <w:pPr>
        <w:numPr>
          <w:ilvl w:val="0"/>
          <w:numId w:val="1"/>
        </w:numPr>
        <w:tabs>
          <w:tab w:val="clear" w:pos="840"/>
          <w:tab w:val="left" w:pos="1080"/>
        </w:tabs>
        <w:spacing w:line="360" w:lineRule="auto"/>
        <w:rPr>
          <w:rFonts w:ascii="宋体" w:hAnsi="宋体"/>
          <w:b/>
          <w:sz w:val="24"/>
        </w:rPr>
      </w:pPr>
      <w:r>
        <w:rPr>
          <w:rFonts w:ascii="宋体" w:hAnsi="宋体" w:hint="eastAsia"/>
          <w:b/>
          <w:sz w:val="24"/>
        </w:rPr>
        <w:t>招生层次</w:t>
      </w:r>
    </w:p>
    <w:p w:rsidR="00C3610A" w:rsidRDefault="006D67EA">
      <w:pPr>
        <w:spacing w:line="360" w:lineRule="auto"/>
        <w:ind w:firstLineChars="196" w:firstLine="470"/>
        <w:rPr>
          <w:rFonts w:ascii="宋体" w:hAnsi="宋体"/>
          <w:color w:val="FF0000"/>
          <w:sz w:val="24"/>
        </w:rPr>
      </w:pPr>
      <w:r>
        <w:rPr>
          <w:rFonts w:ascii="宋体" w:hAnsi="宋体" w:hint="eastAsia"/>
          <w:sz w:val="24"/>
        </w:rPr>
        <w:t>高中起点专科，专科起点本科。</w:t>
      </w:r>
    </w:p>
    <w:p w:rsidR="00C3610A" w:rsidRDefault="006D67EA">
      <w:pPr>
        <w:numPr>
          <w:ilvl w:val="0"/>
          <w:numId w:val="1"/>
        </w:numPr>
        <w:spacing w:line="360" w:lineRule="auto"/>
        <w:ind w:left="1080" w:hanging="660"/>
        <w:rPr>
          <w:rFonts w:ascii="宋体" w:hAnsi="宋体"/>
          <w:b/>
          <w:sz w:val="24"/>
        </w:rPr>
      </w:pPr>
      <w:r>
        <w:rPr>
          <w:rFonts w:ascii="宋体" w:hAnsi="宋体" w:hint="eastAsia"/>
          <w:b/>
          <w:sz w:val="24"/>
        </w:rPr>
        <w:t>层次、专业、学分、学习期限和入学测试科目</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00"/>
        <w:gridCol w:w="1440"/>
        <w:gridCol w:w="1440"/>
        <w:gridCol w:w="1980"/>
      </w:tblGrid>
      <w:tr w:rsidR="00C3610A">
        <w:trPr>
          <w:trHeight w:val="912"/>
        </w:trPr>
        <w:tc>
          <w:tcPr>
            <w:tcW w:w="720" w:type="dxa"/>
            <w:vAlign w:val="center"/>
          </w:tcPr>
          <w:p w:rsidR="00C3610A" w:rsidRDefault="006D67EA">
            <w:pPr>
              <w:spacing w:line="360" w:lineRule="auto"/>
              <w:jc w:val="center"/>
              <w:rPr>
                <w:rFonts w:ascii="宋体" w:hAnsi="宋体"/>
                <w:b/>
                <w:sz w:val="24"/>
              </w:rPr>
            </w:pPr>
            <w:r>
              <w:rPr>
                <w:rFonts w:ascii="宋体" w:hAnsi="宋体" w:hint="eastAsia"/>
                <w:b/>
                <w:sz w:val="24"/>
              </w:rPr>
              <w:t>层次</w:t>
            </w:r>
          </w:p>
        </w:tc>
        <w:tc>
          <w:tcPr>
            <w:tcW w:w="2700" w:type="dxa"/>
            <w:vAlign w:val="center"/>
          </w:tcPr>
          <w:p w:rsidR="00C3610A" w:rsidRDefault="006D67EA">
            <w:pPr>
              <w:spacing w:line="360" w:lineRule="auto"/>
              <w:jc w:val="center"/>
              <w:rPr>
                <w:rFonts w:ascii="宋体" w:hAnsi="宋体"/>
                <w:sz w:val="24"/>
              </w:rPr>
            </w:pPr>
            <w:r>
              <w:rPr>
                <w:rFonts w:ascii="宋体" w:hAnsi="宋体" w:hint="eastAsia"/>
                <w:sz w:val="24"/>
              </w:rPr>
              <w:t>专</w:t>
            </w:r>
            <w:r>
              <w:rPr>
                <w:rFonts w:ascii="宋体" w:hAnsi="宋体" w:hint="eastAsia"/>
                <w:sz w:val="24"/>
              </w:rPr>
              <w:t xml:space="preserve">       </w:t>
            </w:r>
            <w:r>
              <w:rPr>
                <w:rFonts w:ascii="宋体" w:hAnsi="宋体" w:hint="eastAsia"/>
                <w:sz w:val="24"/>
              </w:rPr>
              <w:t>业</w:t>
            </w:r>
          </w:p>
        </w:tc>
        <w:tc>
          <w:tcPr>
            <w:tcW w:w="1440" w:type="dxa"/>
            <w:vAlign w:val="center"/>
          </w:tcPr>
          <w:p w:rsidR="00C3610A" w:rsidRDefault="006D67EA">
            <w:pPr>
              <w:spacing w:line="360" w:lineRule="auto"/>
              <w:jc w:val="center"/>
              <w:rPr>
                <w:rFonts w:ascii="宋体" w:hAnsi="宋体"/>
                <w:sz w:val="24"/>
              </w:rPr>
            </w:pPr>
            <w:r>
              <w:rPr>
                <w:rFonts w:ascii="宋体" w:hAnsi="宋体" w:hint="eastAsia"/>
                <w:sz w:val="24"/>
              </w:rPr>
              <w:t>毕业</w:t>
            </w:r>
          </w:p>
          <w:p w:rsidR="00C3610A" w:rsidRDefault="006D67EA">
            <w:pPr>
              <w:spacing w:line="360" w:lineRule="auto"/>
              <w:ind w:firstLineChars="50" w:firstLine="120"/>
              <w:rPr>
                <w:rFonts w:ascii="宋体" w:hAnsi="宋体"/>
                <w:sz w:val="24"/>
              </w:rPr>
            </w:pPr>
            <w:r>
              <w:rPr>
                <w:rFonts w:ascii="宋体" w:hAnsi="宋体" w:hint="eastAsia"/>
                <w:sz w:val="24"/>
              </w:rPr>
              <w:t>最低学分</w:t>
            </w:r>
          </w:p>
        </w:tc>
        <w:tc>
          <w:tcPr>
            <w:tcW w:w="1440" w:type="dxa"/>
            <w:vAlign w:val="center"/>
          </w:tcPr>
          <w:p w:rsidR="00C3610A" w:rsidRDefault="006D67EA">
            <w:pPr>
              <w:spacing w:line="360" w:lineRule="auto"/>
              <w:jc w:val="center"/>
              <w:rPr>
                <w:rFonts w:ascii="宋体" w:hAnsi="宋体"/>
                <w:sz w:val="24"/>
              </w:rPr>
            </w:pPr>
            <w:r>
              <w:rPr>
                <w:rFonts w:ascii="宋体" w:hAnsi="宋体" w:hint="eastAsia"/>
                <w:sz w:val="24"/>
              </w:rPr>
              <w:t>学习</w:t>
            </w:r>
          </w:p>
          <w:p w:rsidR="00C3610A" w:rsidRDefault="006D67EA">
            <w:pPr>
              <w:spacing w:line="360" w:lineRule="auto"/>
              <w:jc w:val="center"/>
              <w:rPr>
                <w:rFonts w:ascii="宋体" w:hAnsi="宋体"/>
                <w:sz w:val="24"/>
              </w:rPr>
            </w:pPr>
            <w:r>
              <w:rPr>
                <w:rFonts w:ascii="宋体" w:hAnsi="宋体" w:hint="eastAsia"/>
                <w:sz w:val="24"/>
              </w:rPr>
              <w:t>期限（年）</w:t>
            </w:r>
          </w:p>
        </w:tc>
        <w:tc>
          <w:tcPr>
            <w:tcW w:w="1980" w:type="dxa"/>
            <w:vAlign w:val="center"/>
          </w:tcPr>
          <w:p w:rsidR="00C3610A" w:rsidRDefault="006D67EA">
            <w:pPr>
              <w:spacing w:line="360" w:lineRule="auto"/>
              <w:jc w:val="center"/>
              <w:rPr>
                <w:rFonts w:ascii="宋体" w:hAnsi="宋体"/>
                <w:sz w:val="24"/>
              </w:rPr>
            </w:pPr>
            <w:r>
              <w:rPr>
                <w:rFonts w:ascii="宋体" w:hAnsi="宋体" w:hint="eastAsia"/>
                <w:sz w:val="24"/>
              </w:rPr>
              <w:t>入学测试科目</w:t>
            </w:r>
          </w:p>
        </w:tc>
      </w:tr>
      <w:tr w:rsidR="00C3610A">
        <w:trPr>
          <w:cantSplit/>
          <w:trHeight w:val="1161"/>
        </w:trPr>
        <w:tc>
          <w:tcPr>
            <w:tcW w:w="720" w:type="dxa"/>
            <w:vAlign w:val="center"/>
          </w:tcPr>
          <w:p w:rsidR="00C3610A" w:rsidRDefault="00C3610A">
            <w:pPr>
              <w:spacing w:line="360" w:lineRule="auto"/>
              <w:rPr>
                <w:rFonts w:ascii="宋体" w:hAnsi="宋体"/>
                <w:b/>
                <w:color w:val="FF0000"/>
                <w:sz w:val="24"/>
              </w:rPr>
            </w:pPr>
          </w:p>
          <w:p w:rsidR="00C3610A" w:rsidRDefault="006D67EA">
            <w:pPr>
              <w:spacing w:line="360" w:lineRule="auto"/>
              <w:jc w:val="center"/>
              <w:rPr>
                <w:rFonts w:ascii="宋体" w:hAnsi="宋体"/>
                <w:b/>
                <w:sz w:val="24"/>
              </w:rPr>
            </w:pPr>
            <w:r>
              <w:rPr>
                <w:rFonts w:ascii="宋体" w:hAnsi="宋体" w:hint="eastAsia"/>
                <w:b/>
                <w:sz w:val="24"/>
              </w:rPr>
              <w:t>高</w:t>
            </w:r>
          </w:p>
          <w:p w:rsidR="00C3610A" w:rsidRDefault="006D67EA">
            <w:pPr>
              <w:spacing w:line="360" w:lineRule="auto"/>
              <w:jc w:val="center"/>
              <w:rPr>
                <w:rFonts w:ascii="宋体" w:hAnsi="宋体"/>
                <w:b/>
                <w:sz w:val="24"/>
              </w:rPr>
            </w:pPr>
            <w:r>
              <w:rPr>
                <w:rFonts w:ascii="宋体" w:hAnsi="宋体" w:hint="eastAsia"/>
                <w:b/>
                <w:sz w:val="24"/>
              </w:rPr>
              <w:t>起</w:t>
            </w:r>
          </w:p>
          <w:p w:rsidR="00C3610A" w:rsidRDefault="006D67EA">
            <w:pPr>
              <w:spacing w:line="360" w:lineRule="auto"/>
              <w:jc w:val="center"/>
              <w:rPr>
                <w:rFonts w:ascii="宋体" w:hAnsi="宋体"/>
                <w:b/>
                <w:sz w:val="24"/>
              </w:rPr>
            </w:pPr>
            <w:r>
              <w:rPr>
                <w:rFonts w:ascii="宋体" w:hAnsi="宋体" w:hint="eastAsia"/>
                <w:b/>
                <w:sz w:val="24"/>
              </w:rPr>
              <w:t>专</w:t>
            </w:r>
          </w:p>
        </w:tc>
        <w:tc>
          <w:tcPr>
            <w:tcW w:w="2700" w:type="dxa"/>
            <w:vAlign w:val="center"/>
          </w:tcPr>
          <w:p w:rsidR="00C3610A" w:rsidRDefault="006D67EA">
            <w:pPr>
              <w:spacing w:line="360" w:lineRule="auto"/>
              <w:rPr>
                <w:rFonts w:ascii="宋体" w:hAnsi="宋体"/>
                <w:sz w:val="24"/>
              </w:rPr>
            </w:pPr>
            <w:r>
              <w:rPr>
                <w:rFonts w:ascii="宋体" w:hAnsi="宋体" w:hint="eastAsia"/>
                <w:sz w:val="24"/>
              </w:rPr>
              <w:t>会计</w:t>
            </w:r>
          </w:p>
          <w:p w:rsidR="00C3610A" w:rsidRDefault="006D67EA">
            <w:pPr>
              <w:spacing w:line="360" w:lineRule="auto"/>
              <w:rPr>
                <w:rFonts w:ascii="宋体" w:hAnsi="宋体"/>
                <w:sz w:val="24"/>
              </w:rPr>
            </w:pPr>
            <w:r>
              <w:rPr>
                <w:rFonts w:ascii="宋体" w:hAnsi="宋体" w:hint="eastAsia"/>
                <w:sz w:val="24"/>
              </w:rPr>
              <w:t>工商企业管理</w:t>
            </w:r>
          </w:p>
          <w:p w:rsidR="00C3610A" w:rsidRDefault="006D67EA">
            <w:pPr>
              <w:spacing w:line="360" w:lineRule="auto"/>
              <w:rPr>
                <w:rFonts w:ascii="宋体" w:hAnsi="宋体"/>
                <w:sz w:val="24"/>
              </w:rPr>
            </w:pPr>
            <w:r>
              <w:rPr>
                <w:rFonts w:ascii="宋体" w:hAnsi="宋体" w:hint="eastAsia"/>
                <w:sz w:val="24"/>
              </w:rPr>
              <w:t>建筑工程管理</w:t>
            </w:r>
          </w:p>
          <w:p w:rsidR="00C3610A" w:rsidRDefault="006D67EA">
            <w:pPr>
              <w:spacing w:line="360" w:lineRule="auto"/>
              <w:rPr>
                <w:rFonts w:ascii="宋体" w:hAnsi="宋体"/>
                <w:sz w:val="24"/>
              </w:rPr>
            </w:pPr>
            <w:r>
              <w:rPr>
                <w:rFonts w:ascii="宋体" w:hAnsi="宋体" w:hint="eastAsia"/>
                <w:sz w:val="24"/>
              </w:rPr>
              <w:t>市场营销</w:t>
            </w:r>
          </w:p>
          <w:p w:rsidR="00C3610A" w:rsidRDefault="006D67EA">
            <w:pPr>
              <w:spacing w:line="360" w:lineRule="auto"/>
              <w:rPr>
                <w:rFonts w:ascii="宋体" w:hAnsi="宋体"/>
                <w:sz w:val="24"/>
              </w:rPr>
            </w:pPr>
            <w:r>
              <w:rPr>
                <w:rFonts w:ascii="宋体" w:hAnsi="宋体" w:hint="eastAsia"/>
                <w:sz w:val="24"/>
              </w:rPr>
              <w:t>学前教育</w:t>
            </w:r>
          </w:p>
        </w:tc>
        <w:tc>
          <w:tcPr>
            <w:tcW w:w="1440" w:type="dxa"/>
            <w:vAlign w:val="center"/>
          </w:tcPr>
          <w:p w:rsidR="00C3610A" w:rsidRDefault="006D67EA">
            <w:pPr>
              <w:spacing w:line="360" w:lineRule="auto"/>
              <w:jc w:val="center"/>
              <w:rPr>
                <w:rFonts w:ascii="宋体" w:hAnsi="宋体"/>
                <w:sz w:val="24"/>
              </w:rPr>
            </w:pPr>
            <w:r>
              <w:rPr>
                <w:rFonts w:ascii="宋体" w:hAnsi="宋体" w:hint="eastAsia"/>
                <w:sz w:val="24"/>
              </w:rPr>
              <w:t>78</w:t>
            </w:r>
          </w:p>
        </w:tc>
        <w:tc>
          <w:tcPr>
            <w:tcW w:w="1440" w:type="dxa"/>
            <w:vAlign w:val="center"/>
          </w:tcPr>
          <w:p w:rsidR="00C3610A" w:rsidRDefault="006D67EA">
            <w:pPr>
              <w:spacing w:line="360" w:lineRule="auto"/>
              <w:jc w:val="center"/>
              <w:rPr>
                <w:rFonts w:ascii="宋体" w:hAnsi="宋体"/>
                <w:sz w:val="24"/>
              </w:rPr>
            </w:pPr>
            <w:r>
              <w:rPr>
                <w:rFonts w:ascii="宋体" w:hAnsi="宋体" w:hint="eastAsia"/>
                <w:sz w:val="24"/>
              </w:rPr>
              <w:t>2.5</w:t>
            </w:r>
            <w:r>
              <w:rPr>
                <w:rFonts w:ascii="宋体" w:hAnsi="宋体" w:hint="eastAsia"/>
                <w:sz w:val="24"/>
              </w:rPr>
              <w:t>～</w:t>
            </w:r>
            <w:r>
              <w:rPr>
                <w:rFonts w:ascii="宋体" w:hAnsi="宋体" w:hint="eastAsia"/>
                <w:sz w:val="24"/>
              </w:rPr>
              <w:t>5</w:t>
            </w:r>
          </w:p>
        </w:tc>
        <w:tc>
          <w:tcPr>
            <w:tcW w:w="1980" w:type="dxa"/>
            <w:vAlign w:val="center"/>
          </w:tcPr>
          <w:p w:rsidR="00C3610A" w:rsidRDefault="006D67EA">
            <w:pPr>
              <w:spacing w:line="360" w:lineRule="auto"/>
              <w:jc w:val="center"/>
              <w:rPr>
                <w:rFonts w:ascii="宋体" w:hAnsi="宋体"/>
                <w:sz w:val="24"/>
              </w:rPr>
            </w:pPr>
            <w:r>
              <w:rPr>
                <w:rFonts w:ascii="宋体" w:hAnsi="宋体" w:hint="eastAsia"/>
                <w:sz w:val="24"/>
              </w:rPr>
              <w:t>语文、英语</w:t>
            </w:r>
          </w:p>
        </w:tc>
      </w:tr>
      <w:tr w:rsidR="00C3610A">
        <w:trPr>
          <w:cantSplit/>
          <w:trHeight w:val="4037"/>
        </w:trPr>
        <w:tc>
          <w:tcPr>
            <w:tcW w:w="720" w:type="dxa"/>
            <w:vMerge w:val="restart"/>
            <w:vAlign w:val="center"/>
          </w:tcPr>
          <w:p w:rsidR="00C3610A" w:rsidRDefault="006D67EA">
            <w:pPr>
              <w:spacing w:line="360" w:lineRule="auto"/>
              <w:ind w:firstLineChars="49" w:firstLine="118"/>
              <w:rPr>
                <w:rFonts w:ascii="宋体" w:hAnsi="宋体"/>
                <w:b/>
                <w:sz w:val="24"/>
              </w:rPr>
            </w:pPr>
            <w:r>
              <w:rPr>
                <w:rFonts w:ascii="宋体" w:hAnsi="宋体" w:hint="eastAsia"/>
                <w:b/>
                <w:sz w:val="24"/>
              </w:rPr>
              <w:lastRenderedPageBreak/>
              <w:t>专</w:t>
            </w:r>
          </w:p>
          <w:p w:rsidR="00C3610A" w:rsidRDefault="00C3610A">
            <w:pPr>
              <w:spacing w:line="360" w:lineRule="auto"/>
              <w:jc w:val="center"/>
              <w:rPr>
                <w:rFonts w:ascii="宋体" w:hAnsi="宋体"/>
                <w:b/>
                <w:sz w:val="24"/>
              </w:rPr>
            </w:pPr>
          </w:p>
          <w:p w:rsidR="00C3610A" w:rsidRDefault="00C3610A">
            <w:pPr>
              <w:spacing w:line="360" w:lineRule="auto"/>
              <w:jc w:val="center"/>
              <w:rPr>
                <w:rFonts w:ascii="宋体" w:hAnsi="宋体"/>
                <w:b/>
                <w:sz w:val="24"/>
              </w:rPr>
            </w:pPr>
          </w:p>
          <w:p w:rsidR="00C3610A" w:rsidRDefault="00C3610A">
            <w:pPr>
              <w:spacing w:line="360" w:lineRule="auto"/>
              <w:jc w:val="center"/>
              <w:rPr>
                <w:rFonts w:ascii="宋体" w:hAnsi="宋体"/>
                <w:b/>
                <w:sz w:val="24"/>
              </w:rPr>
            </w:pPr>
          </w:p>
          <w:p w:rsidR="00C3610A" w:rsidRDefault="006D67EA">
            <w:pPr>
              <w:spacing w:line="360" w:lineRule="auto"/>
              <w:jc w:val="center"/>
              <w:rPr>
                <w:rFonts w:ascii="宋体" w:hAnsi="宋体"/>
                <w:b/>
                <w:sz w:val="24"/>
              </w:rPr>
            </w:pPr>
            <w:r>
              <w:rPr>
                <w:rFonts w:ascii="宋体" w:hAnsi="宋体" w:hint="eastAsia"/>
                <w:b/>
                <w:sz w:val="24"/>
              </w:rPr>
              <w:t>升</w:t>
            </w:r>
          </w:p>
          <w:p w:rsidR="00C3610A" w:rsidRDefault="00C3610A">
            <w:pPr>
              <w:spacing w:line="360" w:lineRule="auto"/>
              <w:jc w:val="center"/>
              <w:rPr>
                <w:rFonts w:ascii="宋体" w:hAnsi="宋体"/>
                <w:b/>
                <w:sz w:val="24"/>
              </w:rPr>
            </w:pPr>
          </w:p>
          <w:p w:rsidR="00C3610A" w:rsidRDefault="00C3610A">
            <w:pPr>
              <w:spacing w:line="360" w:lineRule="auto"/>
              <w:jc w:val="center"/>
              <w:rPr>
                <w:rFonts w:ascii="宋体" w:hAnsi="宋体"/>
                <w:b/>
                <w:sz w:val="24"/>
              </w:rPr>
            </w:pPr>
          </w:p>
          <w:p w:rsidR="00C3610A" w:rsidRDefault="00C3610A">
            <w:pPr>
              <w:spacing w:line="360" w:lineRule="auto"/>
              <w:jc w:val="center"/>
              <w:rPr>
                <w:rFonts w:ascii="宋体" w:hAnsi="宋体"/>
                <w:b/>
                <w:sz w:val="24"/>
              </w:rPr>
            </w:pPr>
          </w:p>
          <w:p w:rsidR="00C3610A" w:rsidRDefault="006D67EA">
            <w:pPr>
              <w:spacing w:line="360" w:lineRule="auto"/>
              <w:jc w:val="center"/>
              <w:rPr>
                <w:rFonts w:ascii="宋体" w:hAnsi="宋体"/>
                <w:b/>
                <w:sz w:val="24"/>
              </w:rPr>
            </w:pPr>
            <w:r>
              <w:rPr>
                <w:rFonts w:ascii="宋体" w:hAnsi="宋体" w:hint="eastAsia"/>
                <w:b/>
                <w:sz w:val="24"/>
              </w:rPr>
              <w:t>本</w:t>
            </w:r>
          </w:p>
        </w:tc>
        <w:tc>
          <w:tcPr>
            <w:tcW w:w="2700" w:type="dxa"/>
            <w:vAlign w:val="center"/>
          </w:tcPr>
          <w:p w:rsidR="00C3610A" w:rsidRDefault="006D67EA">
            <w:pPr>
              <w:spacing w:line="360" w:lineRule="auto"/>
              <w:rPr>
                <w:rFonts w:ascii="宋体" w:hAnsi="宋体"/>
                <w:sz w:val="24"/>
              </w:rPr>
            </w:pPr>
            <w:r>
              <w:rPr>
                <w:rFonts w:ascii="宋体" w:hAnsi="宋体" w:hint="eastAsia"/>
                <w:sz w:val="24"/>
              </w:rPr>
              <w:t>工商管理</w:t>
            </w:r>
          </w:p>
          <w:p w:rsidR="00C3610A" w:rsidRDefault="006D67EA">
            <w:pPr>
              <w:spacing w:line="360" w:lineRule="auto"/>
              <w:rPr>
                <w:rFonts w:ascii="宋体" w:hAnsi="宋体"/>
                <w:sz w:val="24"/>
              </w:rPr>
            </w:pPr>
            <w:r>
              <w:rPr>
                <w:rFonts w:ascii="宋体" w:hAnsi="宋体" w:hint="eastAsia"/>
                <w:sz w:val="24"/>
              </w:rPr>
              <w:t>公共事业管理</w:t>
            </w:r>
          </w:p>
          <w:p w:rsidR="00C3610A" w:rsidRDefault="006D67EA">
            <w:pPr>
              <w:spacing w:line="360" w:lineRule="auto"/>
              <w:rPr>
                <w:rFonts w:ascii="宋体" w:hAnsi="宋体"/>
                <w:sz w:val="24"/>
              </w:rPr>
            </w:pPr>
            <w:r>
              <w:rPr>
                <w:rFonts w:ascii="宋体" w:hAnsi="宋体" w:hint="eastAsia"/>
                <w:sz w:val="24"/>
              </w:rPr>
              <w:t>人力资源管理</w:t>
            </w:r>
          </w:p>
          <w:p w:rsidR="00C3610A" w:rsidRDefault="006D67EA">
            <w:pPr>
              <w:spacing w:line="360" w:lineRule="auto"/>
              <w:rPr>
                <w:rFonts w:ascii="宋体" w:hAnsi="宋体"/>
                <w:sz w:val="24"/>
              </w:rPr>
            </w:pPr>
            <w:r>
              <w:rPr>
                <w:rFonts w:ascii="宋体" w:hAnsi="宋体" w:hint="eastAsia"/>
                <w:sz w:val="24"/>
              </w:rPr>
              <w:t>会计学</w:t>
            </w:r>
          </w:p>
          <w:p w:rsidR="00C3610A" w:rsidRDefault="006D67EA">
            <w:pPr>
              <w:spacing w:line="360" w:lineRule="auto"/>
              <w:rPr>
                <w:rFonts w:ascii="宋体" w:hAnsi="宋体"/>
                <w:sz w:val="24"/>
              </w:rPr>
            </w:pPr>
            <w:r>
              <w:rPr>
                <w:rFonts w:ascii="宋体" w:hAnsi="宋体" w:hint="eastAsia"/>
                <w:sz w:val="24"/>
              </w:rPr>
              <w:t>金融学</w:t>
            </w:r>
          </w:p>
          <w:p w:rsidR="00C3610A" w:rsidRDefault="006D67EA">
            <w:pPr>
              <w:spacing w:line="360" w:lineRule="auto"/>
              <w:rPr>
                <w:rFonts w:ascii="宋体" w:hAnsi="宋体"/>
                <w:sz w:val="24"/>
              </w:rPr>
            </w:pPr>
            <w:r>
              <w:rPr>
                <w:rFonts w:ascii="宋体" w:hAnsi="宋体" w:hint="eastAsia"/>
                <w:sz w:val="24"/>
              </w:rPr>
              <w:t>法学</w:t>
            </w:r>
          </w:p>
          <w:p w:rsidR="00C3610A" w:rsidRDefault="006D67EA">
            <w:pPr>
              <w:spacing w:line="360" w:lineRule="auto"/>
              <w:rPr>
                <w:rFonts w:ascii="宋体" w:hAnsi="宋体"/>
                <w:sz w:val="24"/>
              </w:rPr>
            </w:pPr>
            <w:r>
              <w:rPr>
                <w:rFonts w:ascii="宋体" w:hAnsi="宋体" w:hint="eastAsia"/>
                <w:sz w:val="24"/>
              </w:rPr>
              <w:t>学前教育</w:t>
            </w:r>
          </w:p>
          <w:p w:rsidR="00C3610A" w:rsidRDefault="006D67EA">
            <w:pPr>
              <w:spacing w:line="360" w:lineRule="auto"/>
              <w:rPr>
                <w:rFonts w:ascii="宋体" w:hAnsi="宋体"/>
                <w:sz w:val="24"/>
              </w:rPr>
            </w:pPr>
            <w:r>
              <w:rPr>
                <w:rFonts w:ascii="宋体" w:hAnsi="宋体" w:hint="eastAsia"/>
                <w:sz w:val="24"/>
              </w:rPr>
              <w:t>市场营销</w:t>
            </w:r>
          </w:p>
          <w:p w:rsidR="00C3610A" w:rsidRDefault="006D67EA">
            <w:pPr>
              <w:spacing w:line="360" w:lineRule="auto"/>
              <w:rPr>
                <w:rFonts w:ascii="宋体" w:hAnsi="宋体"/>
                <w:sz w:val="24"/>
              </w:rPr>
            </w:pPr>
            <w:r>
              <w:rPr>
                <w:rFonts w:ascii="宋体" w:hAnsi="宋体" w:hint="eastAsia"/>
                <w:sz w:val="24"/>
              </w:rPr>
              <w:t>汉语言文学</w:t>
            </w:r>
          </w:p>
          <w:p w:rsidR="00C3610A" w:rsidRDefault="006D67EA">
            <w:pPr>
              <w:spacing w:line="360" w:lineRule="auto"/>
              <w:rPr>
                <w:rFonts w:ascii="宋体" w:hAnsi="宋体"/>
                <w:sz w:val="24"/>
              </w:rPr>
            </w:pPr>
            <w:r>
              <w:rPr>
                <w:rFonts w:ascii="宋体" w:hAnsi="宋体" w:hint="eastAsia"/>
                <w:sz w:val="24"/>
              </w:rPr>
              <w:t>汉语言文学（师范方向）</w:t>
            </w:r>
          </w:p>
          <w:p w:rsidR="00C3610A" w:rsidRDefault="006D67EA">
            <w:pPr>
              <w:spacing w:line="360" w:lineRule="auto"/>
              <w:rPr>
                <w:rFonts w:ascii="宋体" w:hAnsi="宋体"/>
                <w:sz w:val="24"/>
              </w:rPr>
            </w:pPr>
            <w:r>
              <w:rPr>
                <w:rFonts w:ascii="宋体" w:hAnsi="宋体" w:hint="eastAsia"/>
                <w:sz w:val="24"/>
              </w:rPr>
              <w:t>英语（经贸英语）</w:t>
            </w:r>
          </w:p>
          <w:p w:rsidR="00C3610A" w:rsidRDefault="006D67EA">
            <w:pPr>
              <w:spacing w:line="360" w:lineRule="auto"/>
              <w:rPr>
                <w:rFonts w:ascii="宋体" w:hAnsi="宋体"/>
                <w:sz w:val="24"/>
              </w:rPr>
            </w:pPr>
            <w:r>
              <w:rPr>
                <w:rFonts w:ascii="宋体" w:hAnsi="宋体" w:hint="eastAsia"/>
                <w:sz w:val="24"/>
              </w:rPr>
              <w:t>电子商务</w:t>
            </w:r>
          </w:p>
          <w:p w:rsidR="00C3610A" w:rsidRDefault="006D67EA">
            <w:pPr>
              <w:spacing w:line="360" w:lineRule="auto"/>
              <w:rPr>
                <w:rFonts w:ascii="宋体" w:hAnsi="宋体"/>
                <w:sz w:val="24"/>
              </w:rPr>
            </w:pPr>
            <w:r>
              <w:rPr>
                <w:rFonts w:ascii="宋体" w:hAnsi="宋体" w:hint="eastAsia"/>
                <w:sz w:val="24"/>
              </w:rPr>
              <w:t>信息管理与信息系统</w:t>
            </w:r>
          </w:p>
        </w:tc>
        <w:tc>
          <w:tcPr>
            <w:tcW w:w="1440" w:type="dxa"/>
            <w:vAlign w:val="center"/>
          </w:tcPr>
          <w:p w:rsidR="00C3610A" w:rsidRDefault="006D67EA">
            <w:pPr>
              <w:spacing w:line="360" w:lineRule="auto"/>
              <w:jc w:val="center"/>
              <w:rPr>
                <w:rFonts w:ascii="宋体" w:hAnsi="宋体"/>
                <w:sz w:val="24"/>
              </w:rPr>
            </w:pPr>
            <w:r>
              <w:rPr>
                <w:rFonts w:ascii="宋体" w:hAnsi="宋体" w:hint="eastAsia"/>
                <w:sz w:val="24"/>
              </w:rPr>
              <w:t>80</w:t>
            </w:r>
          </w:p>
        </w:tc>
        <w:tc>
          <w:tcPr>
            <w:tcW w:w="1440" w:type="dxa"/>
            <w:vAlign w:val="center"/>
          </w:tcPr>
          <w:p w:rsidR="00C3610A" w:rsidRDefault="006D67EA">
            <w:pPr>
              <w:spacing w:line="360" w:lineRule="auto"/>
              <w:jc w:val="center"/>
              <w:rPr>
                <w:rFonts w:ascii="宋体" w:hAnsi="宋体"/>
                <w:sz w:val="24"/>
              </w:rPr>
            </w:pPr>
            <w:r>
              <w:rPr>
                <w:rFonts w:ascii="宋体" w:hAnsi="宋体" w:hint="eastAsia"/>
                <w:sz w:val="24"/>
              </w:rPr>
              <w:t>2.5</w:t>
            </w:r>
            <w:r>
              <w:rPr>
                <w:rFonts w:ascii="宋体" w:hAnsi="宋体" w:hint="eastAsia"/>
                <w:sz w:val="24"/>
              </w:rPr>
              <w:t>～</w:t>
            </w:r>
            <w:r>
              <w:rPr>
                <w:rFonts w:ascii="宋体" w:hAnsi="宋体" w:hint="eastAsia"/>
                <w:sz w:val="24"/>
              </w:rPr>
              <w:t>5</w:t>
            </w:r>
          </w:p>
        </w:tc>
        <w:tc>
          <w:tcPr>
            <w:tcW w:w="1980" w:type="dxa"/>
            <w:vAlign w:val="center"/>
          </w:tcPr>
          <w:p w:rsidR="00C3610A" w:rsidRDefault="006D67EA">
            <w:pPr>
              <w:spacing w:line="360" w:lineRule="auto"/>
              <w:jc w:val="center"/>
              <w:rPr>
                <w:rFonts w:ascii="宋体" w:hAnsi="宋体"/>
                <w:sz w:val="24"/>
              </w:rPr>
            </w:pPr>
            <w:r>
              <w:rPr>
                <w:rFonts w:ascii="宋体" w:hAnsi="宋体" w:hint="eastAsia"/>
                <w:sz w:val="24"/>
              </w:rPr>
              <w:t>英语、大学语文</w:t>
            </w:r>
          </w:p>
        </w:tc>
      </w:tr>
      <w:tr w:rsidR="00C3610A">
        <w:trPr>
          <w:cantSplit/>
          <w:trHeight w:val="1547"/>
        </w:trPr>
        <w:tc>
          <w:tcPr>
            <w:tcW w:w="720" w:type="dxa"/>
            <w:vMerge/>
          </w:tcPr>
          <w:p w:rsidR="00C3610A" w:rsidRDefault="00C3610A">
            <w:pPr>
              <w:spacing w:line="360" w:lineRule="auto"/>
              <w:rPr>
                <w:rFonts w:ascii="宋体" w:hAnsi="宋体"/>
                <w:sz w:val="24"/>
              </w:rPr>
            </w:pPr>
          </w:p>
        </w:tc>
        <w:tc>
          <w:tcPr>
            <w:tcW w:w="2700" w:type="dxa"/>
            <w:vAlign w:val="center"/>
          </w:tcPr>
          <w:p w:rsidR="00C3610A" w:rsidRDefault="006D67EA">
            <w:pPr>
              <w:spacing w:line="360" w:lineRule="auto"/>
              <w:rPr>
                <w:rFonts w:ascii="宋体" w:hAnsi="宋体"/>
                <w:sz w:val="24"/>
              </w:rPr>
            </w:pPr>
            <w:r>
              <w:rPr>
                <w:rFonts w:ascii="宋体" w:hAnsi="宋体" w:hint="eastAsia"/>
                <w:sz w:val="24"/>
              </w:rPr>
              <w:t>计算机科学与技术</w:t>
            </w:r>
          </w:p>
          <w:p w:rsidR="00C3610A" w:rsidRDefault="006D67EA">
            <w:pPr>
              <w:spacing w:line="360" w:lineRule="auto"/>
              <w:rPr>
                <w:rFonts w:ascii="宋体" w:hAnsi="宋体"/>
                <w:sz w:val="24"/>
              </w:rPr>
            </w:pPr>
            <w:r>
              <w:rPr>
                <w:rFonts w:ascii="宋体" w:hAnsi="宋体" w:hint="eastAsia"/>
                <w:sz w:val="24"/>
              </w:rPr>
              <w:t>土木工程</w:t>
            </w:r>
            <w:r>
              <w:rPr>
                <w:rFonts w:ascii="宋体" w:hAnsi="宋体" w:hint="eastAsia"/>
                <w:sz w:val="24"/>
              </w:rPr>
              <w:t>(</w:t>
            </w:r>
            <w:r>
              <w:rPr>
                <w:rFonts w:ascii="宋体" w:hAnsi="宋体" w:hint="eastAsia"/>
                <w:sz w:val="24"/>
              </w:rPr>
              <w:t>工程管理</w:t>
            </w:r>
            <w:r>
              <w:rPr>
                <w:rFonts w:ascii="宋体" w:hAnsi="宋体" w:hint="eastAsia"/>
                <w:sz w:val="24"/>
              </w:rPr>
              <w:t>)</w:t>
            </w:r>
          </w:p>
          <w:p w:rsidR="00C3610A" w:rsidRDefault="006D67EA">
            <w:pPr>
              <w:spacing w:line="360" w:lineRule="auto"/>
              <w:rPr>
                <w:rFonts w:ascii="宋体" w:hAnsi="宋体"/>
                <w:sz w:val="24"/>
              </w:rPr>
            </w:pPr>
            <w:r>
              <w:rPr>
                <w:rFonts w:ascii="宋体" w:hAnsi="宋体" w:hint="eastAsia"/>
                <w:sz w:val="24"/>
              </w:rPr>
              <w:t>电气工程及其自动化</w:t>
            </w:r>
          </w:p>
        </w:tc>
        <w:tc>
          <w:tcPr>
            <w:tcW w:w="1440" w:type="dxa"/>
            <w:vAlign w:val="center"/>
          </w:tcPr>
          <w:p w:rsidR="00C3610A" w:rsidRDefault="006D67EA">
            <w:pPr>
              <w:spacing w:line="360" w:lineRule="auto"/>
              <w:jc w:val="center"/>
              <w:rPr>
                <w:rFonts w:ascii="宋体" w:hAnsi="宋体"/>
                <w:sz w:val="24"/>
              </w:rPr>
            </w:pPr>
            <w:r>
              <w:rPr>
                <w:rFonts w:ascii="宋体" w:hAnsi="宋体" w:hint="eastAsia"/>
                <w:sz w:val="24"/>
              </w:rPr>
              <w:t>80</w:t>
            </w:r>
          </w:p>
        </w:tc>
        <w:tc>
          <w:tcPr>
            <w:tcW w:w="1440" w:type="dxa"/>
            <w:vAlign w:val="center"/>
          </w:tcPr>
          <w:p w:rsidR="00C3610A" w:rsidRDefault="006D67EA">
            <w:pPr>
              <w:spacing w:line="360" w:lineRule="auto"/>
              <w:jc w:val="center"/>
              <w:rPr>
                <w:rFonts w:ascii="宋体" w:hAnsi="宋体"/>
                <w:sz w:val="24"/>
              </w:rPr>
            </w:pPr>
            <w:r>
              <w:rPr>
                <w:rFonts w:ascii="宋体" w:hAnsi="宋体" w:hint="eastAsia"/>
                <w:sz w:val="24"/>
              </w:rPr>
              <w:t>2.5</w:t>
            </w:r>
            <w:r>
              <w:rPr>
                <w:rFonts w:ascii="宋体" w:hAnsi="宋体" w:hint="eastAsia"/>
                <w:sz w:val="24"/>
              </w:rPr>
              <w:t>～</w:t>
            </w:r>
            <w:r>
              <w:rPr>
                <w:rFonts w:ascii="宋体" w:hAnsi="宋体" w:hint="eastAsia"/>
                <w:sz w:val="24"/>
              </w:rPr>
              <w:t>5</w:t>
            </w:r>
          </w:p>
        </w:tc>
        <w:tc>
          <w:tcPr>
            <w:tcW w:w="1980" w:type="dxa"/>
            <w:vAlign w:val="center"/>
          </w:tcPr>
          <w:p w:rsidR="00C3610A" w:rsidRDefault="006D67EA">
            <w:pPr>
              <w:spacing w:line="360" w:lineRule="auto"/>
              <w:rPr>
                <w:rFonts w:ascii="宋体" w:hAnsi="宋体"/>
                <w:sz w:val="24"/>
              </w:rPr>
            </w:pPr>
            <w:r>
              <w:rPr>
                <w:rFonts w:ascii="宋体" w:hAnsi="宋体" w:hint="eastAsia"/>
                <w:sz w:val="24"/>
              </w:rPr>
              <w:t>英语、高数（</w:t>
            </w:r>
            <w:r>
              <w:rPr>
                <w:rFonts w:ascii="宋体" w:hAnsi="宋体" w:hint="eastAsia"/>
                <w:sz w:val="24"/>
              </w:rPr>
              <w:t>2</w:t>
            </w:r>
            <w:r>
              <w:rPr>
                <w:rFonts w:ascii="宋体" w:hAnsi="宋体" w:hint="eastAsia"/>
                <w:sz w:val="24"/>
              </w:rPr>
              <w:t>）</w:t>
            </w:r>
          </w:p>
        </w:tc>
      </w:tr>
    </w:tbl>
    <w:p w:rsidR="00C3610A" w:rsidRDefault="00C3610A">
      <w:pPr>
        <w:spacing w:line="360" w:lineRule="auto"/>
        <w:rPr>
          <w:rFonts w:ascii="宋体" w:hAnsi="宋体"/>
          <w:sz w:val="24"/>
        </w:rPr>
      </w:pPr>
    </w:p>
    <w:p w:rsidR="00C3610A" w:rsidRDefault="006D67EA">
      <w:pPr>
        <w:spacing w:line="360" w:lineRule="auto"/>
        <w:rPr>
          <w:rFonts w:ascii="宋体" w:hAnsi="宋体"/>
          <w:b/>
          <w:sz w:val="24"/>
        </w:rPr>
      </w:pPr>
      <w:r>
        <w:rPr>
          <w:rFonts w:ascii="宋体" w:hAnsi="宋体" w:hint="eastAsia"/>
          <w:b/>
          <w:sz w:val="24"/>
        </w:rPr>
        <w:t xml:space="preserve">   </w:t>
      </w:r>
      <w:r>
        <w:rPr>
          <w:rFonts w:ascii="宋体" w:hAnsi="宋体" w:hint="eastAsia"/>
          <w:b/>
          <w:sz w:val="24"/>
        </w:rPr>
        <w:t>三、招生对象及条件</w:t>
      </w:r>
    </w:p>
    <w:p w:rsidR="00C3610A" w:rsidRDefault="006D67EA">
      <w:pPr>
        <w:spacing w:line="360" w:lineRule="auto"/>
        <w:ind w:firstLineChars="200" w:firstLine="482"/>
        <w:rPr>
          <w:rFonts w:ascii="宋体" w:hAnsi="宋体"/>
          <w:color w:val="FF0000"/>
          <w:sz w:val="24"/>
        </w:rPr>
      </w:pPr>
      <w:r>
        <w:rPr>
          <w:rFonts w:ascii="宋体" w:hAnsi="宋体" w:hint="eastAsia"/>
          <w:b/>
          <w:color w:val="FF0000"/>
          <w:sz w:val="24"/>
        </w:rPr>
        <w:t>网络高等学历教育是主要面向在职从业人员的非全日制高等教育</w:t>
      </w:r>
      <w:r>
        <w:rPr>
          <w:rFonts w:ascii="宋体" w:hAnsi="宋体" w:hint="eastAsia"/>
          <w:color w:val="FF0000"/>
          <w:sz w:val="24"/>
        </w:rPr>
        <w:t>。</w:t>
      </w:r>
    </w:p>
    <w:p w:rsidR="00C3610A" w:rsidRDefault="006D67EA">
      <w:pPr>
        <w:spacing w:line="360" w:lineRule="auto"/>
        <w:ind w:firstLineChars="200" w:firstLine="480"/>
        <w:rPr>
          <w:rFonts w:ascii="宋体" w:hAnsi="宋体"/>
          <w:sz w:val="24"/>
        </w:rPr>
      </w:pPr>
      <w:r>
        <w:rPr>
          <w:rFonts w:ascii="宋体" w:hAnsi="宋体" w:hint="eastAsia"/>
          <w:sz w:val="24"/>
        </w:rPr>
        <w:t>报读高中起点专科须具有高中、职高、中专、技校毕业证书或同等学力。</w:t>
      </w:r>
    </w:p>
    <w:p w:rsidR="00C3610A" w:rsidRDefault="006D67EA">
      <w:pPr>
        <w:spacing w:line="360" w:lineRule="auto"/>
        <w:ind w:firstLineChars="200" w:firstLine="480"/>
        <w:rPr>
          <w:rFonts w:ascii="宋体" w:hAnsi="宋体"/>
          <w:sz w:val="24"/>
        </w:rPr>
      </w:pPr>
      <w:r>
        <w:rPr>
          <w:rFonts w:ascii="宋体" w:hAnsi="宋体" w:hint="eastAsia"/>
          <w:sz w:val="24"/>
        </w:rPr>
        <w:t>报读专科起点本科须具有国民教育系列大专或以上毕业证书。</w:t>
      </w:r>
    </w:p>
    <w:p w:rsidR="00C3610A" w:rsidRDefault="00C3610A">
      <w:pPr>
        <w:spacing w:line="360" w:lineRule="auto"/>
        <w:ind w:firstLineChars="200" w:firstLine="480"/>
        <w:rPr>
          <w:rFonts w:ascii="宋体" w:hAnsi="宋体"/>
          <w:sz w:val="24"/>
        </w:rPr>
      </w:pPr>
    </w:p>
    <w:p w:rsidR="00C3610A" w:rsidRDefault="006D67EA">
      <w:pPr>
        <w:spacing w:line="360" w:lineRule="auto"/>
        <w:ind w:left="420"/>
        <w:rPr>
          <w:rFonts w:ascii="宋体" w:hAnsi="宋体"/>
          <w:b/>
          <w:sz w:val="24"/>
        </w:rPr>
      </w:pPr>
      <w:r>
        <w:rPr>
          <w:rFonts w:ascii="宋体" w:hAnsi="宋体" w:hint="eastAsia"/>
          <w:b/>
          <w:sz w:val="24"/>
        </w:rPr>
        <w:t>四、入学方式</w:t>
      </w:r>
    </w:p>
    <w:p w:rsidR="00C3610A" w:rsidRDefault="006D67EA">
      <w:pPr>
        <w:spacing w:line="360" w:lineRule="auto"/>
        <w:ind w:firstLineChars="200" w:firstLine="480"/>
        <w:rPr>
          <w:rFonts w:ascii="宋体" w:hAnsi="宋体"/>
          <w:sz w:val="24"/>
        </w:rPr>
      </w:pPr>
      <w:r>
        <w:rPr>
          <w:rFonts w:ascii="宋体" w:hAnsi="宋体" w:hint="eastAsia"/>
          <w:sz w:val="24"/>
        </w:rPr>
        <w:t>报名学员</w:t>
      </w:r>
      <w:r>
        <w:rPr>
          <w:rFonts w:ascii="宋体" w:hAnsi="宋体" w:hint="eastAsia"/>
          <w:sz w:val="24"/>
        </w:rPr>
        <w:t>均须参加由浙江大学命题并组织的入学测试。入学测试大纲及模拟试题可从学院网站（</w:t>
      </w:r>
      <w:r>
        <w:rPr>
          <w:rFonts w:ascii="宋体" w:hAnsi="宋体" w:hint="eastAsia"/>
          <w:sz w:val="24"/>
        </w:rPr>
        <w:t>http://www.scezju.com</w:t>
      </w:r>
      <w:r>
        <w:rPr>
          <w:rFonts w:ascii="宋体" w:hAnsi="宋体" w:hint="eastAsia"/>
          <w:sz w:val="24"/>
        </w:rPr>
        <w:t>）</w:t>
      </w:r>
      <w:r>
        <w:rPr>
          <w:rFonts w:ascii="宋体" w:hAnsi="宋体" w:hint="eastAsia"/>
          <w:sz w:val="24"/>
        </w:rPr>
        <w:t xml:space="preserve">--&gt; </w:t>
      </w:r>
      <w:r>
        <w:rPr>
          <w:rFonts w:ascii="宋体" w:hAnsi="宋体" w:hint="eastAsia"/>
          <w:sz w:val="24"/>
        </w:rPr>
        <w:t>“远程教育”</w:t>
      </w:r>
      <w:r>
        <w:rPr>
          <w:rFonts w:ascii="宋体" w:hAnsi="宋体" w:hint="eastAsia"/>
          <w:sz w:val="24"/>
        </w:rPr>
        <w:t>--&gt;</w:t>
      </w:r>
      <w:r>
        <w:rPr>
          <w:rFonts w:ascii="宋体" w:hAnsi="宋体" w:hint="eastAsia"/>
          <w:sz w:val="24"/>
        </w:rPr>
        <w:t>“远程招生”</w:t>
      </w:r>
      <w:r>
        <w:rPr>
          <w:rFonts w:ascii="宋体" w:hAnsi="宋体" w:hint="eastAsia"/>
          <w:sz w:val="24"/>
        </w:rPr>
        <w:t xml:space="preserve"> --&gt; </w:t>
      </w:r>
      <w:r>
        <w:rPr>
          <w:rFonts w:ascii="宋体" w:hAnsi="宋体" w:hint="eastAsia"/>
          <w:sz w:val="24"/>
        </w:rPr>
        <w:t>“入学考试”栏目下载。</w:t>
      </w:r>
    </w:p>
    <w:p w:rsidR="00C3610A" w:rsidRDefault="00C3610A">
      <w:pPr>
        <w:spacing w:line="360" w:lineRule="auto"/>
        <w:ind w:firstLineChars="200" w:firstLine="482"/>
        <w:rPr>
          <w:rFonts w:ascii="宋体" w:hAnsi="宋体"/>
          <w:b/>
          <w:sz w:val="24"/>
        </w:rPr>
      </w:pPr>
    </w:p>
    <w:p w:rsidR="00C3610A" w:rsidRDefault="006D67EA">
      <w:pPr>
        <w:spacing w:line="360" w:lineRule="auto"/>
        <w:rPr>
          <w:rFonts w:ascii="宋体" w:hAnsi="宋体"/>
          <w:b/>
          <w:sz w:val="24"/>
        </w:rPr>
      </w:pPr>
      <w:r>
        <w:rPr>
          <w:rFonts w:ascii="宋体" w:hAnsi="宋体" w:hint="eastAsia"/>
          <w:b/>
          <w:sz w:val="24"/>
        </w:rPr>
        <w:t xml:space="preserve">    </w:t>
      </w:r>
      <w:r>
        <w:rPr>
          <w:rFonts w:ascii="宋体" w:hAnsi="宋体" w:hint="eastAsia"/>
          <w:b/>
          <w:sz w:val="24"/>
        </w:rPr>
        <w:t>五</w:t>
      </w:r>
      <w:r>
        <w:rPr>
          <w:rFonts w:ascii="宋体" w:hAnsi="宋体" w:hint="eastAsia"/>
          <w:b/>
          <w:sz w:val="24"/>
        </w:rPr>
        <w:t>、教学模式及学习方式</w:t>
      </w:r>
    </w:p>
    <w:p w:rsidR="00C3610A" w:rsidRDefault="006D67EA">
      <w:pPr>
        <w:pStyle w:val="a3"/>
        <w:spacing w:line="360" w:lineRule="auto"/>
        <w:ind w:firstLine="420"/>
        <w:rPr>
          <w:rFonts w:ascii="宋体" w:hAnsi="宋体" w:cs="宋体"/>
          <w:kern w:val="0"/>
        </w:rPr>
      </w:pPr>
      <w:r>
        <w:rPr>
          <w:rFonts w:ascii="宋体" w:hAnsi="宋体" w:cs="宋体" w:hint="eastAsia"/>
          <w:kern w:val="0"/>
        </w:rPr>
        <w:t>浙江大学远程教育实行弹性学制和学分制，采用</w:t>
      </w:r>
      <w:r>
        <w:rPr>
          <w:rFonts w:ascii="宋体" w:hAnsi="宋体" w:hint="eastAsia"/>
        </w:rPr>
        <w:t>宽带互联网、数字多媒体和</w:t>
      </w:r>
      <w:r>
        <w:rPr>
          <w:rFonts w:ascii="宋体" w:hAnsi="宋体" w:hint="eastAsia"/>
        </w:rPr>
        <w:lastRenderedPageBreak/>
        <w:t>移动通信等现代教育技术组织教学。</w:t>
      </w:r>
      <w:r>
        <w:rPr>
          <w:rFonts w:ascii="宋体" w:hAnsi="宋体" w:cs="宋体" w:hint="eastAsia"/>
          <w:kern w:val="0"/>
        </w:rPr>
        <w:t>学生可自行安排学习进度，</w:t>
      </w:r>
      <w:r>
        <w:rPr>
          <w:rFonts w:ascii="宋体" w:hAnsi="宋体" w:hint="eastAsia"/>
        </w:rPr>
        <w:t>学习形式</w:t>
      </w:r>
      <w:r>
        <w:rPr>
          <w:rFonts w:ascii="宋体" w:hAnsi="宋体" w:cs="宋体" w:hint="eastAsia"/>
          <w:kern w:val="0"/>
        </w:rPr>
        <w:t>自主灵活。</w:t>
      </w:r>
      <w:r>
        <w:rPr>
          <w:rFonts w:ascii="宋体" w:hAnsi="宋体" w:cs="宋体" w:hint="eastAsia"/>
          <w:kern w:val="0"/>
        </w:rPr>
        <w:t xml:space="preserve"> </w:t>
      </w:r>
    </w:p>
    <w:p w:rsidR="00C3610A" w:rsidRDefault="006D67EA">
      <w:pPr>
        <w:pStyle w:val="a3"/>
        <w:spacing w:line="360" w:lineRule="auto"/>
        <w:ind w:firstLine="420"/>
        <w:rPr>
          <w:rFonts w:ascii="宋体" w:hAnsi="宋体" w:cs="宋体"/>
          <w:kern w:val="0"/>
        </w:rPr>
      </w:pPr>
      <w:r>
        <w:rPr>
          <w:rFonts w:ascii="宋体" w:hAnsi="宋体" w:cs="宋体" w:hint="eastAsia"/>
          <w:kern w:val="0"/>
        </w:rPr>
        <w:t>在任何时间和地点，学生都可通过互联网</w:t>
      </w:r>
      <w:r>
        <w:rPr>
          <w:rFonts w:ascii="宋体" w:hAnsi="宋体" w:hint="eastAsia"/>
        </w:rPr>
        <w:t>访问学院网站进行学习</w:t>
      </w:r>
      <w:r>
        <w:rPr>
          <w:rFonts w:ascii="宋体" w:hAnsi="宋体" w:cs="宋体" w:hint="eastAsia"/>
          <w:kern w:val="0"/>
        </w:rPr>
        <w:t>，</w:t>
      </w:r>
      <w:r>
        <w:rPr>
          <w:rFonts w:ascii="宋体" w:hAnsi="宋体" w:hint="eastAsia"/>
        </w:rPr>
        <w:t>或使用移动终端设备（如</w:t>
      </w:r>
      <w:r>
        <w:rPr>
          <w:rFonts w:ascii="宋体" w:hAnsi="宋体"/>
        </w:rPr>
        <w:t>Android</w:t>
      </w:r>
      <w:r>
        <w:rPr>
          <w:rFonts w:ascii="宋体" w:hAnsi="宋体" w:hint="eastAsia"/>
        </w:rPr>
        <w:t>手机、</w:t>
      </w:r>
      <w:proofErr w:type="spellStart"/>
      <w:r>
        <w:rPr>
          <w:rFonts w:ascii="宋体" w:hAnsi="宋体"/>
        </w:rPr>
        <w:t>iPhone</w:t>
      </w:r>
      <w:proofErr w:type="spellEnd"/>
      <w:r>
        <w:rPr>
          <w:rFonts w:ascii="宋体" w:hAnsi="宋体" w:hint="eastAsia"/>
        </w:rPr>
        <w:t>和</w:t>
      </w:r>
      <w:proofErr w:type="spellStart"/>
      <w:r>
        <w:rPr>
          <w:rFonts w:ascii="宋体" w:hAnsi="宋体"/>
        </w:rPr>
        <w:t>iPAD</w:t>
      </w:r>
      <w:proofErr w:type="spellEnd"/>
      <w:r>
        <w:rPr>
          <w:rFonts w:ascii="宋体" w:hAnsi="宋体" w:hint="eastAsia"/>
        </w:rPr>
        <w:t>等）基于客户端访问学院移动学习平台，</w:t>
      </w:r>
      <w:r>
        <w:rPr>
          <w:rFonts w:ascii="宋体" w:hAnsi="宋体" w:cs="宋体" w:hint="eastAsia"/>
          <w:kern w:val="0"/>
        </w:rPr>
        <w:t>并通过课件与教材学习、在线答疑与讨论等完成学习过程。</w:t>
      </w:r>
    </w:p>
    <w:p w:rsidR="00C3610A" w:rsidRDefault="006D67EA">
      <w:pPr>
        <w:pStyle w:val="a3"/>
        <w:spacing w:line="360" w:lineRule="auto"/>
        <w:ind w:firstLine="420"/>
        <w:rPr>
          <w:rFonts w:ascii="宋体" w:hAnsi="宋体" w:cs="宋体"/>
          <w:kern w:val="0"/>
        </w:rPr>
      </w:pPr>
      <w:r>
        <w:rPr>
          <w:rFonts w:ascii="宋体" w:hAnsi="宋体" w:cs="宋体" w:hint="eastAsia"/>
          <w:kern w:val="0"/>
        </w:rPr>
        <w:t>在学习过程中，学生应保持积极的学习态度，</w:t>
      </w:r>
      <w:r>
        <w:rPr>
          <w:rFonts w:ascii="宋体" w:hAnsi="宋体" w:hint="eastAsia"/>
        </w:rPr>
        <w:t>掌握计算机与互联网基本操作技能，熟悉网络学习平台，认真学习“远程学习入门”课程及《学生手册》规定，了解院历、教学计划、课程考试计划、课程免修、统考政策及其相关办理手续等，合理安排学习时间，以便顺利完成学业。</w:t>
      </w:r>
      <w:r>
        <w:rPr>
          <w:rFonts w:ascii="宋体" w:hAnsi="宋体" w:cs="宋体" w:hint="eastAsia"/>
          <w:kern w:val="0"/>
        </w:rPr>
        <w:t xml:space="preserve"> </w:t>
      </w:r>
    </w:p>
    <w:p w:rsidR="00C3610A" w:rsidRDefault="00C3610A">
      <w:pPr>
        <w:pStyle w:val="a3"/>
        <w:spacing w:line="360" w:lineRule="auto"/>
        <w:ind w:firstLine="420"/>
        <w:rPr>
          <w:rFonts w:ascii="宋体" w:hAnsi="宋体" w:cs="宋体"/>
          <w:kern w:val="0"/>
        </w:rPr>
      </w:pPr>
    </w:p>
    <w:p w:rsidR="00C3610A" w:rsidRDefault="006D67EA">
      <w:pPr>
        <w:pStyle w:val="a3"/>
        <w:spacing w:line="360" w:lineRule="auto"/>
        <w:rPr>
          <w:rFonts w:ascii="宋体" w:hAnsi="宋体"/>
          <w:b/>
          <w:bCs/>
        </w:rPr>
      </w:pPr>
      <w:r>
        <w:rPr>
          <w:rFonts w:ascii="宋体" w:hAnsi="宋体" w:hint="eastAsia"/>
          <w:b/>
          <w:bCs/>
        </w:rPr>
        <w:t>六</w:t>
      </w:r>
      <w:r>
        <w:rPr>
          <w:rFonts w:ascii="宋体" w:hAnsi="宋体" w:hint="eastAsia"/>
          <w:b/>
          <w:bCs/>
        </w:rPr>
        <w:t>、毕业证书、学位证书</w:t>
      </w:r>
    </w:p>
    <w:p w:rsidR="00C3610A" w:rsidRDefault="006D67EA">
      <w:pPr>
        <w:spacing w:line="360" w:lineRule="auto"/>
        <w:ind w:firstLineChars="199" w:firstLine="478"/>
        <w:rPr>
          <w:rFonts w:ascii="宋体" w:hAnsi="宋体"/>
          <w:sz w:val="24"/>
        </w:rPr>
      </w:pPr>
      <w:r>
        <w:rPr>
          <w:rFonts w:ascii="宋体" w:hAnsi="宋体" w:hint="eastAsia"/>
          <w:sz w:val="24"/>
        </w:rPr>
        <w:t>在规定学习期限内修完本专业教学计划规定的全部课程和实践性教学环节，成绩合格，达到教学计划规定的毕业最低学分和各类学分要求，并通过教育部规定的统考课程的考试（</w:t>
      </w:r>
      <w:proofErr w:type="gramStart"/>
      <w:r>
        <w:rPr>
          <w:rFonts w:ascii="宋体" w:hAnsi="宋体" w:hint="eastAsia"/>
          <w:sz w:val="24"/>
        </w:rPr>
        <w:t>高起专学生</w:t>
      </w:r>
      <w:proofErr w:type="gramEnd"/>
      <w:r>
        <w:rPr>
          <w:rFonts w:ascii="宋体" w:hAnsi="宋体" w:hint="eastAsia"/>
          <w:sz w:val="24"/>
        </w:rPr>
        <w:t>不需参加），前置学历审核和毕业鉴定合格，由浙江大学颁发国民教育系列的本、专科远程教育毕业证书，并报教育部电子注册，国家承认学历。对符合浙江大学学位授予条件的学生，颁发浙江大学成人高等教育学士学位证书（注明网络教育）。毕业证书及学位证书样张见浙江大学远程教育学院网站。</w:t>
      </w:r>
    </w:p>
    <w:p w:rsidR="00C3610A" w:rsidRDefault="00C3610A" w:rsidP="00C64936">
      <w:pPr>
        <w:pStyle w:val="a3"/>
        <w:spacing w:line="360" w:lineRule="auto"/>
        <w:ind w:firstLine="0"/>
        <w:rPr>
          <w:rFonts w:ascii="宋体" w:hAnsi="宋体" w:cs="Arial"/>
          <w:color w:val="FF0000"/>
        </w:rPr>
      </w:pPr>
    </w:p>
    <w:p w:rsidR="00C3610A" w:rsidRDefault="006D67EA">
      <w:pPr>
        <w:pStyle w:val="a3"/>
        <w:spacing w:line="360" w:lineRule="auto"/>
        <w:ind w:firstLineChars="200" w:firstLine="482"/>
        <w:rPr>
          <w:rFonts w:ascii="宋体" w:hAnsi="宋体"/>
          <w:b/>
        </w:rPr>
      </w:pPr>
      <w:r>
        <w:rPr>
          <w:rFonts w:ascii="宋体" w:hAnsi="宋体" w:hint="eastAsia"/>
          <w:b/>
        </w:rPr>
        <w:t>七</w:t>
      </w:r>
      <w:r>
        <w:rPr>
          <w:rFonts w:ascii="宋体" w:hAnsi="宋体" w:hint="eastAsia"/>
          <w:b/>
        </w:rPr>
        <w:t>、报名及相关时间安排</w:t>
      </w:r>
    </w:p>
    <w:p w:rsidR="00C3610A" w:rsidRDefault="006D67EA">
      <w:pPr>
        <w:spacing w:line="360" w:lineRule="auto"/>
        <w:ind w:firstLineChars="196" w:firstLine="472"/>
        <w:rPr>
          <w:rFonts w:ascii="宋体" w:hAnsi="宋体"/>
          <w:color w:val="FF0000"/>
          <w:sz w:val="24"/>
        </w:rPr>
      </w:pPr>
      <w:r>
        <w:rPr>
          <w:rFonts w:ascii="宋体" w:hAnsi="宋体" w:hint="eastAsia"/>
          <w:b/>
          <w:sz w:val="24"/>
        </w:rPr>
        <w:t>报名时间</w:t>
      </w:r>
      <w:r>
        <w:rPr>
          <w:rFonts w:ascii="宋体" w:hAnsi="宋体" w:hint="eastAsia"/>
          <w:sz w:val="24"/>
        </w:rPr>
        <w:t>：</w:t>
      </w:r>
      <w:r>
        <w:rPr>
          <w:rFonts w:ascii="宋体" w:hAnsi="宋体" w:hint="eastAsia"/>
          <w:sz w:val="24"/>
        </w:rPr>
        <w:t>2016</w:t>
      </w:r>
      <w:r>
        <w:rPr>
          <w:rFonts w:ascii="宋体" w:hAnsi="宋体" w:hint="eastAsia"/>
          <w:sz w:val="24"/>
        </w:rPr>
        <w:t>年</w:t>
      </w:r>
      <w:r>
        <w:rPr>
          <w:rFonts w:ascii="宋体" w:hAnsi="宋体" w:hint="eastAsia"/>
          <w:sz w:val="24"/>
        </w:rPr>
        <w:t>8</w:t>
      </w:r>
      <w:r>
        <w:rPr>
          <w:rFonts w:ascii="宋体" w:hAnsi="宋体" w:hint="eastAsia"/>
          <w:sz w:val="24"/>
        </w:rPr>
        <w:t>月</w:t>
      </w:r>
    </w:p>
    <w:p w:rsidR="00C3610A" w:rsidRDefault="006D67EA">
      <w:pPr>
        <w:spacing w:line="360" w:lineRule="auto"/>
        <w:ind w:firstLineChars="196" w:firstLine="472"/>
        <w:rPr>
          <w:rFonts w:ascii="宋体" w:hAnsi="宋体"/>
          <w:sz w:val="24"/>
        </w:rPr>
      </w:pPr>
      <w:r>
        <w:rPr>
          <w:rFonts w:ascii="宋体" w:hAnsi="宋体" w:hint="eastAsia"/>
          <w:b/>
          <w:bCs/>
          <w:sz w:val="24"/>
        </w:rPr>
        <w:t>报名地点：深圳虚拟大学园</w:t>
      </w:r>
      <w:r>
        <w:rPr>
          <w:rFonts w:ascii="宋体" w:hAnsi="宋体" w:hint="eastAsia"/>
          <w:b/>
          <w:bCs/>
          <w:sz w:val="24"/>
        </w:rPr>
        <w:t>A310</w:t>
      </w:r>
      <w:r>
        <w:rPr>
          <w:rFonts w:ascii="宋体" w:hAnsi="宋体" w:hint="eastAsia"/>
          <w:b/>
          <w:bCs/>
          <w:sz w:val="24"/>
        </w:rPr>
        <w:t>室（深圳市南山区科技园南区高新南四道</w:t>
      </w:r>
      <w:r>
        <w:rPr>
          <w:rFonts w:ascii="宋体" w:hAnsi="宋体" w:hint="eastAsia"/>
          <w:b/>
          <w:bCs/>
          <w:sz w:val="24"/>
        </w:rPr>
        <w:t>19</w:t>
      </w:r>
      <w:r>
        <w:rPr>
          <w:rFonts w:ascii="宋体" w:hAnsi="宋体" w:hint="eastAsia"/>
          <w:b/>
          <w:bCs/>
          <w:sz w:val="24"/>
        </w:rPr>
        <w:t>号）</w:t>
      </w:r>
      <w:r>
        <w:rPr>
          <w:rFonts w:ascii="宋体" w:hAnsi="宋体" w:hint="eastAsia"/>
          <w:sz w:val="24"/>
        </w:rPr>
        <w:t>。</w:t>
      </w:r>
    </w:p>
    <w:p w:rsidR="00C3610A" w:rsidRDefault="006D67EA">
      <w:pPr>
        <w:spacing w:line="360" w:lineRule="auto"/>
        <w:ind w:firstLineChars="196" w:firstLine="472"/>
        <w:rPr>
          <w:rFonts w:ascii="宋体" w:hAnsi="宋体"/>
          <w:b/>
          <w:color w:val="FF0000"/>
          <w:sz w:val="28"/>
          <w:szCs w:val="28"/>
        </w:rPr>
      </w:pPr>
      <w:r>
        <w:rPr>
          <w:rFonts w:ascii="宋体" w:hAnsi="宋体" w:hint="eastAsia"/>
          <w:b/>
          <w:sz w:val="24"/>
        </w:rPr>
        <w:t>咨询电话：</w:t>
      </w:r>
      <w:r>
        <w:rPr>
          <w:rFonts w:ascii="宋体" w:hAnsi="宋体" w:hint="eastAsia"/>
          <w:b/>
          <w:color w:val="FF0000"/>
          <w:sz w:val="28"/>
          <w:szCs w:val="28"/>
        </w:rPr>
        <w:t>0755-</w:t>
      </w:r>
      <w:proofErr w:type="gramStart"/>
      <w:r>
        <w:rPr>
          <w:rFonts w:ascii="宋体" w:hAnsi="宋体" w:hint="eastAsia"/>
          <w:b/>
          <w:color w:val="FF0000"/>
          <w:sz w:val="28"/>
          <w:szCs w:val="28"/>
        </w:rPr>
        <w:t>26548597  26548557</w:t>
      </w:r>
      <w:proofErr w:type="gramEnd"/>
      <w:r>
        <w:rPr>
          <w:rFonts w:ascii="宋体" w:hAnsi="宋体" w:hint="eastAsia"/>
          <w:b/>
          <w:color w:val="FF0000"/>
          <w:sz w:val="28"/>
          <w:szCs w:val="28"/>
        </w:rPr>
        <w:t xml:space="preserve"> 26712229 26712230</w:t>
      </w:r>
    </w:p>
    <w:p w:rsidR="00C3610A" w:rsidRDefault="006D67EA">
      <w:pPr>
        <w:spacing w:line="360" w:lineRule="auto"/>
        <w:ind w:firstLineChars="196" w:firstLine="472"/>
        <w:rPr>
          <w:rFonts w:ascii="宋体" w:hAnsi="宋体"/>
          <w:b/>
          <w:bCs/>
          <w:sz w:val="24"/>
        </w:rPr>
      </w:pPr>
      <w:r>
        <w:rPr>
          <w:rFonts w:ascii="宋体" w:hAnsi="宋体" w:hint="eastAsia"/>
          <w:b/>
          <w:bCs/>
          <w:sz w:val="24"/>
        </w:rPr>
        <w:t>入学测试时间：</w:t>
      </w:r>
      <w:r>
        <w:rPr>
          <w:rFonts w:ascii="宋体" w:hAnsi="宋体" w:hint="eastAsia"/>
          <w:b/>
          <w:bCs/>
          <w:sz w:val="24"/>
        </w:rPr>
        <w:t>以深圳市团委“圆梦计划”公布时间为准。</w:t>
      </w:r>
    </w:p>
    <w:p w:rsidR="00C3610A" w:rsidRPr="00C64936" w:rsidRDefault="006D67EA" w:rsidP="00C64936">
      <w:pPr>
        <w:spacing w:line="360" w:lineRule="auto"/>
        <w:ind w:firstLineChars="196" w:firstLine="472"/>
        <w:rPr>
          <w:rFonts w:ascii="宋体" w:hAnsi="宋体"/>
          <w:sz w:val="24"/>
        </w:rPr>
      </w:pPr>
      <w:r>
        <w:rPr>
          <w:rFonts w:ascii="宋体" w:hAnsi="宋体" w:hint="eastAsia"/>
          <w:b/>
          <w:bCs/>
          <w:sz w:val="24"/>
        </w:rPr>
        <w:t>报名手续：</w:t>
      </w:r>
      <w:r>
        <w:rPr>
          <w:rFonts w:ascii="宋体" w:hAnsi="宋体" w:hint="eastAsia"/>
          <w:sz w:val="24"/>
        </w:rPr>
        <w:t>持本人身份证（或护照、军人身份证）及学历证</w:t>
      </w:r>
      <w:r>
        <w:rPr>
          <w:rFonts w:ascii="宋体" w:hAnsi="宋体"/>
          <w:sz w:val="24"/>
        </w:rPr>
        <w:t>书原件</w:t>
      </w:r>
      <w:r>
        <w:rPr>
          <w:rFonts w:ascii="宋体" w:hAnsi="宋体" w:hint="eastAsia"/>
          <w:sz w:val="24"/>
        </w:rPr>
        <w:t>、</w:t>
      </w:r>
      <w:r>
        <w:rPr>
          <w:rFonts w:ascii="宋体" w:hAnsi="宋体" w:hint="eastAsia"/>
          <w:sz w:val="24"/>
        </w:rPr>
        <w:t>2</w:t>
      </w:r>
      <w:r>
        <w:rPr>
          <w:rFonts w:ascii="宋体" w:hAnsi="宋体" w:hint="eastAsia"/>
          <w:sz w:val="24"/>
        </w:rPr>
        <w:t>寸同版彩色免冠照片两张</w:t>
      </w:r>
      <w:r>
        <w:rPr>
          <w:rFonts w:ascii="宋体" w:hAnsi="宋体"/>
          <w:sz w:val="24"/>
        </w:rPr>
        <w:t>报名</w:t>
      </w:r>
      <w:r>
        <w:rPr>
          <w:rFonts w:ascii="宋体" w:hAnsi="宋体" w:hint="eastAsia"/>
          <w:sz w:val="24"/>
        </w:rPr>
        <w:t>，由深圳学习中心通过二代身份证读卡器完成学生个人基本信息的采集，以及身份证、毕业证书原件扫描与上传。</w:t>
      </w:r>
      <w:r>
        <w:rPr>
          <w:rFonts w:ascii="宋体" w:hAnsi="宋体"/>
          <w:sz w:val="24"/>
        </w:rPr>
        <w:t>报名时交纳报名手续费</w:t>
      </w:r>
      <w:r>
        <w:rPr>
          <w:rFonts w:ascii="宋体" w:hAnsi="宋体"/>
          <w:sz w:val="24"/>
        </w:rPr>
        <w:t>100</w:t>
      </w:r>
      <w:r>
        <w:rPr>
          <w:rFonts w:ascii="宋体" w:hAnsi="宋体"/>
          <w:sz w:val="24"/>
        </w:rPr>
        <w:t>元。</w:t>
      </w:r>
    </w:p>
    <w:sectPr w:rsidR="00C3610A" w:rsidRPr="00C64936" w:rsidSect="00C36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EA" w:rsidRDefault="006D67EA" w:rsidP="00C64936">
      <w:r>
        <w:separator/>
      </w:r>
    </w:p>
  </w:endnote>
  <w:endnote w:type="continuationSeparator" w:id="0">
    <w:p w:rsidR="006D67EA" w:rsidRDefault="006D67EA" w:rsidP="00C64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EA" w:rsidRDefault="006D67EA" w:rsidP="00C64936">
      <w:r>
        <w:separator/>
      </w:r>
    </w:p>
  </w:footnote>
  <w:footnote w:type="continuationSeparator" w:id="0">
    <w:p w:rsidR="006D67EA" w:rsidRDefault="006D67EA" w:rsidP="00C64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30C14"/>
    <w:multiLevelType w:val="multilevel"/>
    <w:tmpl w:val="5AD30C14"/>
    <w:lvl w:ilvl="0">
      <w:start w:val="1"/>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E05"/>
    <w:rsid w:val="006D67EA"/>
    <w:rsid w:val="007E545E"/>
    <w:rsid w:val="007E7B4C"/>
    <w:rsid w:val="00A7622B"/>
    <w:rsid w:val="00C00E05"/>
    <w:rsid w:val="00C3610A"/>
    <w:rsid w:val="00C64936"/>
    <w:rsid w:val="00E13EF6"/>
    <w:rsid w:val="38E276C2"/>
    <w:rsid w:val="6C511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1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3610A"/>
    <w:pPr>
      <w:ind w:firstLine="480"/>
    </w:pPr>
    <w:rPr>
      <w:sz w:val="24"/>
    </w:rPr>
  </w:style>
  <w:style w:type="paragraph" w:styleId="a4">
    <w:name w:val="footer"/>
    <w:basedOn w:val="a"/>
    <w:link w:val="Char0"/>
    <w:qFormat/>
    <w:rsid w:val="00C3610A"/>
    <w:pPr>
      <w:tabs>
        <w:tab w:val="center" w:pos="4153"/>
        <w:tab w:val="right" w:pos="8306"/>
      </w:tabs>
      <w:snapToGrid w:val="0"/>
      <w:jc w:val="left"/>
    </w:pPr>
    <w:rPr>
      <w:sz w:val="18"/>
      <w:szCs w:val="18"/>
    </w:rPr>
  </w:style>
  <w:style w:type="paragraph" w:styleId="a5">
    <w:name w:val="header"/>
    <w:basedOn w:val="a"/>
    <w:link w:val="Char1"/>
    <w:qFormat/>
    <w:rsid w:val="00C3610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C3610A"/>
    <w:pPr>
      <w:widowControl/>
      <w:spacing w:before="100" w:beforeAutospacing="1" w:after="100" w:afterAutospacing="1"/>
      <w:jc w:val="left"/>
    </w:pPr>
    <w:rPr>
      <w:rFonts w:ascii="宋体" w:hAnsi="宋体"/>
      <w:kern w:val="0"/>
      <w:sz w:val="24"/>
    </w:rPr>
  </w:style>
  <w:style w:type="character" w:styleId="a7">
    <w:name w:val="Strong"/>
    <w:qFormat/>
    <w:rsid w:val="00C3610A"/>
    <w:rPr>
      <w:b/>
      <w:bCs/>
    </w:rPr>
  </w:style>
  <w:style w:type="character" w:customStyle="1" w:styleId="Char">
    <w:name w:val="正文文本缩进 Char"/>
    <w:basedOn w:val="a0"/>
    <w:link w:val="a3"/>
    <w:qFormat/>
    <w:rsid w:val="00C3610A"/>
    <w:rPr>
      <w:kern w:val="2"/>
      <w:sz w:val="24"/>
      <w:szCs w:val="24"/>
    </w:rPr>
  </w:style>
  <w:style w:type="paragraph" w:customStyle="1" w:styleId="Char2">
    <w:name w:val="Char"/>
    <w:basedOn w:val="a"/>
    <w:qFormat/>
    <w:rsid w:val="00C3610A"/>
    <w:rPr>
      <w:rFonts w:ascii="仿宋_GB2312" w:eastAsia="仿宋_GB2312"/>
      <w:b/>
      <w:sz w:val="32"/>
      <w:szCs w:val="32"/>
    </w:rPr>
  </w:style>
  <w:style w:type="character" w:customStyle="1" w:styleId="Char1">
    <w:name w:val="页眉 Char"/>
    <w:basedOn w:val="a0"/>
    <w:link w:val="a5"/>
    <w:qFormat/>
    <w:rsid w:val="00C3610A"/>
    <w:rPr>
      <w:kern w:val="2"/>
      <w:sz w:val="18"/>
      <w:szCs w:val="18"/>
    </w:rPr>
  </w:style>
  <w:style w:type="character" w:customStyle="1" w:styleId="Char0">
    <w:name w:val="页脚 Char"/>
    <w:basedOn w:val="a0"/>
    <w:link w:val="a4"/>
    <w:qFormat/>
    <w:rsid w:val="00C361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1370</Characters>
  <Application>Microsoft Office Word</Application>
  <DocSecurity>0</DocSecurity>
  <Lines>11</Lines>
  <Paragraphs>3</Paragraphs>
  <ScaleCrop>false</ScaleCrop>
  <Company>ITMG</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2016-05-25T05:55:00Z</dcterms:created>
  <dcterms:modified xsi:type="dcterms:W3CDTF">2016-07-06T03:29:00Z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